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D17E" w14:textId="6AF602AA" w:rsidR="00423F3D" w:rsidRDefault="00423F3D" w:rsidP="004B7226">
      <w:pPr>
        <w:jc w:val="center"/>
      </w:pPr>
    </w:p>
    <w:p w14:paraId="1EF0F018" w14:textId="1C378DBB" w:rsidR="002D1DBD" w:rsidRDefault="002D1DBD" w:rsidP="004B7226">
      <w:pPr>
        <w:jc w:val="center"/>
      </w:pPr>
    </w:p>
    <w:p w14:paraId="1A44FD94" w14:textId="77E81544" w:rsidR="002D1DBD" w:rsidRDefault="1F9B39C6" w:rsidP="004B7226">
      <w:pPr>
        <w:jc w:val="center"/>
      </w:pPr>
      <w:r>
        <w:rPr>
          <w:noProof/>
        </w:rPr>
        <w:drawing>
          <wp:inline distT="0" distB="0" distL="0" distR="0" wp14:anchorId="6CA39EB2" wp14:editId="271AC132">
            <wp:extent cx="5867400" cy="1760220"/>
            <wp:effectExtent l="0" t="0" r="0" b="0"/>
            <wp:docPr id="2085011664" name="Picture 208501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7400" cy="1760220"/>
                    </a:xfrm>
                    <a:prstGeom prst="rect">
                      <a:avLst/>
                    </a:prstGeom>
                  </pic:spPr>
                </pic:pic>
              </a:graphicData>
            </a:graphic>
          </wp:inline>
        </w:drawing>
      </w:r>
    </w:p>
    <w:p w14:paraId="44BDCD65" w14:textId="041750AF" w:rsidR="002D1DBD" w:rsidRDefault="002D1DBD" w:rsidP="004B7226">
      <w:pPr>
        <w:jc w:val="center"/>
      </w:pPr>
    </w:p>
    <w:p w14:paraId="0D7F0DB0" w14:textId="5E3CD0AF" w:rsidR="00972ECC" w:rsidRDefault="00972ECC" w:rsidP="004B7226">
      <w:pPr>
        <w:jc w:val="center"/>
      </w:pPr>
    </w:p>
    <w:p w14:paraId="5E1EA8CE" w14:textId="593EE1DE" w:rsidR="00972ECC" w:rsidRDefault="00972ECC" w:rsidP="004B7226">
      <w:pPr>
        <w:jc w:val="center"/>
      </w:pPr>
    </w:p>
    <w:p w14:paraId="5C6BE53A" w14:textId="3245CB45" w:rsidR="00972ECC" w:rsidRDefault="00972ECC" w:rsidP="004B7226">
      <w:pPr>
        <w:jc w:val="center"/>
      </w:pPr>
    </w:p>
    <w:p w14:paraId="3A93F0CE" w14:textId="2960B6C0" w:rsidR="00972ECC" w:rsidRPr="00D7241F" w:rsidRDefault="0049792A" w:rsidP="004B7226">
      <w:pPr>
        <w:jc w:val="center"/>
        <w:rPr>
          <w:rFonts w:ascii="Avenir Next LT Pro" w:hAnsi="Avenir Next LT Pro"/>
          <w:b/>
          <w:bCs/>
          <w:sz w:val="44"/>
          <w:szCs w:val="44"/>
        </w:rPr>
      </w:pPr>
      <w:r w:rsidRPr="00D7241F">
        <w:rPr>
          <w:rFonts w:ascii="Avenir Next LT Pro" w:hAnsi="Avenir Next LT Pro"/>
          <w:b/>
          <w:bCs/>
          <w:sz w:val="44"/>
          <w:szCs w:val="44"/>
        </w:rPr>
        <w:t xml:space="preserve">Building a </w:t>
      </w:r>
      <w:r w:rsidR="00BF0008" w:rsidRPr="00D7241F">
        <w:rPr>
          <w:rFonts w:ascii="Avenir Next LT Pro" w:hAnsi="Avenir Next LT Pro"/>
          <w:b/>
          <w:bCs/>
          <w:sz w:val="44"/>
          <w:szCs w:val="44"/>
        </w:rPr>
        <w:t>Foundation for Inclusion</w:t>
      </w:r>
    </w:p>
    <w:p w14:paraId="5279EEED" w14:textId="75A7CF9E" w:rsidR="00BF0008" w:rsidRDefault="0F2AC2A4" w:rsidP="004B7226">
      <w:pPr>
        <w:jc w:val="center"/>
        <w:rPr>
          <w:rFonts w:ascii="Avenir Next LT Pro" w:hAnsi="Avenir Next LT Pro"/>
          <w:b/>
          <w:bCs/>
          <w:sz w:val="44"/>
          <w:szCs w:val="44"/>
        </w:rPr>
      </w:pPr>
      <w:proofErr w:type="gramStart"/>
      <w:r w:rsidRPr="3C0C43A5">
        <w:rPr>
          <w:rFonts w:ascii="Avenir Next LT Pro" w:hAnsi="Avenir Next LT Pro"/>
          <w:b/>
          <w:bCs/>
          <w:sz w:val="44"/>
          <w:szCs w:val="44"/>
        </w:rPr>
        <w:t>September</w:t>
      </w:r>
      <w:r w:rsidR="00D7241F" w:rsidRPr="3C0C43A5">
        <w:rPr>
          <w:rFonts w:ascii="Avenir Next LT Pro" w:hAnsi="Avenir Next LT Pro"/>
          <w:b/>
          <w:bCs/>
          <w:sz w:val="44"/>
          <w:szCs w:val="44"/>
        </w:rPr>
        <w:t>,</w:t>
      </w:r>
      <w:proofErr w:type="gramEnd"/>
      <w:r w:rsidR="00D7241F" w:rsidRPr="3C0C43A5">
        <w:rPr>
          <w:rFonts w:ascii="Avenir Next LT Pro" w:hAnsi="Avenir Next LT Pro"/>
          <w:b/>
          <w:bCs/>
          <w:sz w:val="44"/>
          <w:szCs w:val="44"/>
        </w:rPr>
        <w:t xml:space="preserve"> 202</w:t>
      </w:r>
      <w:r w:rsidR="6C5EBBB3" w:rsidRPr="3C0C43A5">
        <w:rPr>
          <w:rFonts w:ascii="Avenir Next LT Pro" w:hAnsi="Avenir Next LT Pro"/>
          <w:b/>
          <w:bCs/>
          <w:sz w:val="44"/>
          <w:szCs w:val="44"/>
        </w:rPr>
        <w:t>1</w:t>
      </w:r>
    </w:p>
    <w:p w14:paraId="3AE28A82" w14:textId="1FE861DD" w:rsidR="0023281B" w:rsidRDefault="0023281B" w:rsidP="004B7226">
      <w:pPr>
        <w:jc w:val="center"/>
        <w:rPr>
          <w:rFonts w:ascii="Avenir Next LT Pro" w:hAnsi="Avenir Next LT Pro"/>
          <w:b/>
          <w:bCs/>
          <w:sz w:val="44"/>
          <w:szCs w:val="44"/>
        </w:rPr>
      </w:pPr>
    </w:p>
    <w:p w14:paraId="30FF1D73" w14:textId="63D74526" w:rsidR="0023281B" w:rsidRDefault="0023281B" w:rsidP="004B7226">
      <w:pPr>
        <w:jc w:val="center"/>
        <w:rPr>
          <w:rFonts w:ascii="Avenir Next LT Pro" w:hAnsi="Avenir Next LT Pro"/>
          <w:b/>
          <w:bCs/>
          <w:sz w:val="44"/>
          <w:szCs w:val="44"/>
        </w:rPr>
      </w:pPr>
    </w:p>
    <w:p w14:paraId="5484B538" w14:textId="77777777" w:rsidR="0023281B" w:rsidRDefault="0023281B">
      <w:pPr>
        <w:rPr>
          <w:rFonts w:ascii="Avenir Next LT Pro" w:hAnsi="Avenir Next LT Pro"/>
          <w:b/>
          <w:bCs/>
          <w:sz w:val="44"/>
          <w:szCs w:val="44"/>
        </w:rPr>
      </w:pPr>
      <w:r>
        <w:rPr>
          <w:rFonts w:ascii="Avenir Next LT Pro" w:hAnsi="Avenir Next LT Pro"/>
          <w:b/>
          <w:bCs/>
          <w:sz w:val="44"/>
          <w:szCs w:val="44"/>
        </w:rPr>
        <w:br w:type="page"/>
      </w:r>
    </w:p>
    <w:p w14:paraId="5C632D8C" w14:textId="10E9D523" w:rsidR="0023281B" w:rsidRDefault="0023281B" w:rsidP="00681456">
      <w:pPr>
        <w:rPr>
          <w:rFonts w:ascii="Avenir Next LT Pro" w:hAnsi="Avenir Next LT Pro"/>
          <w:color w:val="00A9F4"/>
          <w:sz w:val="44"/>
          <w:szCs w:val="44"/>
        </w:rPr>
      </w:pPr>
      <w:r w:rsidRPr="00681456">
        <w:rPr>
          <w:rFonts w:ascii="Avenir Next LT Pro" w:hAnsi="Avenir Next LT Pro"/>
          <w:color w:val="00A9F4"/>
          <w:sz w:val="44"/>
          <w:szCs w:val="44"/>
        </w:rPr>
        <w:lastRenderedPageBreak/>
        <w:t>About</w:t>
      </w:r>
      <w:r w:rsidR="00681456" w:rsidRPr="00681456">
        <w:rPr>
          <w:rFonts w:ascii="Avenir Next LT Pro" w:hAnsi="Avenir Next LT Pro"/>
          <w:color w:val="00A9F4"/>
          <w:sz w:val="44"/>
          <w:szCs w:val="44"/>
        </w:rPr>
        <w:t xml:space="preserve"> </w:t>
      </w:r>
      <w:r w:rsidR="3A6DE293" w:rsidRPr="1CF44CB0">
        <w:rPr>
          <w:rFonts w:ascii="Avenir Next LT Pro" w:hAnsi="Avenir Next LT Pro"/>
          <w:color w:val="00A9F4"/>
          <w:sz w:val="44"/>
          <w:szCs w:val="44"/>
        </w:rPr>
        <w:t>Rainbow</w:t>
      </w:r>
      <w:r w:rsidR="00681456" w:rsidRPr="00681456">
        <w:rPr>
          <w:rFonts w:ascii="Avenir Next LT Pro" w:hAnsi="Avenir Next LT Pro"/>
          <w:color w:val="00A9F4"/>
          <w:sz w:val="44"/>
          <w:szCs w:val="44"/>
        </w:rPr>
        <w:t xml:space="preserve"> Health</w:t>
      </w:r>
    </w:p>
    <w:p w14:paraId="03DD7186" w14:textId="24DF362B" w:rsidR="009935D9" w:rsidRPr="009353A9" w:rsidRDefault="009935D9" w:rsidP="00681456">
      <w:pPr>
        <w:rPr>
          <w:rFonts w:ascii="Avenir Next LT Pro" w:hAnsi="Avenir Next LT Pro"/>
          <w:sz w:val="36"/>
          <w:szCs w:val="36"/>
        </w:rPr>
      </w:pPr>
      <w:r w:rsidRPr="009353A9">
        <w:rPr>
          <w:rFonts w:ascii="Avenir Next LT Pro" w:hAnsi="Avenir Next LT Pro"/>
          <w:sz w:val="36"/>
          <w:szCs w:val="36"/>
        </w:rPr>
        <w:t>Our Mission</w:t>
      </w:r>
    </w:p>
    <w:p w14:paraId="13BA4DE3" w14:textId="60AA6676" w:rsidR="003B35B6" w:rsidRPr="003B35B6" w:rsidRDefault="009353A9" w:rsidP="003B35B6">
      <w:pPr>
        <w:rPr>
          <w:rFonts w:ascii="Avenir Next LT Pro" w:hAnsi="Avenir Next LT Pro"/>
        </w:rPr>
      </w:pPr>
      <w:r>
        <w:rPr>
          <w:rFonts w:ascii="Avenir Next LT Pro" w:hAnsi="Avenir Next LT Pro"/>
        </w:rPr>
        <w:t xml:space="preserve">The </w:t>
      </w:r>
      <w:r w:rsidR="002A60A7">
        <w:rPr>
          <w:rFonts w:ascii="Avenir Next LT Pro" w:hAnsi="Avenir Next LT Pro"/>
        </w:rPr>
        <w:t>m</w:t>
      </w:r>
      <w:r>
        <w:rPr>
          <w:rFonts w:ascii="Avenir Next LT Pro" w:hAnsi="Avenir Next LT Pro"/>
        </w:rPr>
        <w:t xml:space="preserve">ission of </w:t>
      </w:r>
      <w:r w:rsidR="3A6DE293" w:rsidRPr="1CF44CB0">
        <w:rPr>
          <w:rFonts w:ascii="Avenir Next LT Pro" w:hAnsi="Avenir Next LT Pro"/>
        </w:rPr>
        <w:t>Rainbow</w:t>
      </w:r>
      <w:r>
        <w:rPr>
          <w:rFonts w:ascii="Avenir Next LT Pro" w:hAnsi="Avenir Next LT Pro"/>
        </w:rPr>
        <w:t xml:space="preserve"> Health</w:t>
      </w:r>
      <w:r w:rsidR="003B35B6" w:rsidRPr="003B35B6">
        <w:rPr>
          <w:rFonts w:ascii="Avenir Next LT Pro" w:hAnsi="Avenir Next LT Pro"/>
        </w:rPr>
        <w:t xml:space="preserve"> is to work for equitable health care access and outcomes for people who experience injustice at the intersection of health status and identity. </w:t>
      </w:r>
    </w:p>
    <w:p w14:paraId="0C0C7AB6" w14:textId="676E2EF6" w:rsidR="003B35B6" w:rsidRDefault="003B35B6" w:rsidP="003B35B6">
      <w:pPr>
        <w:rPr>
          <w:rFonts w:ascii="Avenir Next LT Pro" w:hAnsi="Avenir Next LT Pro"/>
        </w:rPr>
      </w:pPr>
      <w:r w:rsidRPr="003B35B6">
        <w:rPr>
          <w:rFonts w:ascii="Avenir Next LT Pro" w:hAnsi="Avenir Next LT Pro"/>
        </w:rPr>
        <w:t>We center individuals and communities at risk of and living with HIV or facing barriers to equitable health care access and outcomes because of their identity as gender, sexual and/ or racial minorities.</w:t>
      </w:r>
    </w:p>
    <w:p w14:paraId="090C8BDB" w14:textId="5592A993" w:rsidR="009923BE" w:rsidRDefault="009923BE" w:rsidP="003B35B6">
      <w:pPr>
        <w:rPr>
          <w:rFonts w:ascii="Avenir Next LT Pro" w:hAnsi="Avenir Next LT Pro"/>
        </w:rPr>
      </w:pPr>
    </w:p>
    <w:p w14:paraId="76805D2B" w14:textId="222405FA" w:rsidR="003739E6" w:rsidRPr="003739E6" w:rsidRDefault="003739E6" w:rsidP="003B35B6">
      <w:pPr>
        <w:rPr>
          <w:rFonts w:ascii="Avenir Next LT Pro" w:hAnsi="Avenir Next LT Pro"/>
          <w:sz w:val="36"/>
          <w:szCs w:val="36"/>
        </w:rPr>
      </w:pPr>
      <w:r w:rsidRPr="009353A9">
        <w:rPr>
          <w:rFonts w:ascii="Avenir Next LT Pro" w:hAnsi="Avenir Next LT Pro"/>
          <w:sz w:val="36"/>
          <w:szCs w:val="36"/>
        </w:rPr>
        <w:t xml:space="preserve">Our </w:t>
      </w:r>
      <w:r>
        <w:rPr>
          <w:rFonts w:ascii="Avenir Next LT Pro" w:hAnsi="Avenir Next LT Pro"/>
          <w:sz w:val="36"/>
          <w:szCs w:val="36"/>
        </w:rPr>
        <w:t>Purpose</w:t>
      </w:r>
    </w:p>
    <w:p w14:paraId="1DC3C12F" w14:textId="1721C0C7" w:rsidR="001E6FE5" w:rsidRDefault="3A6DE293" w:rsidP="003739E6">
      <w:pPr>
        <w:rPr>
          <w:rFonts w:ascii="Avenir Next LT Pro" w:hAnsi="Avenir Next LT Pro"/>
        </w:rPr>
      </w:pPr>
      <w:r w:rsidRPr="1CF44CB0">
        <w:rPr>
          <w:rFonts w:ascii="Avenir Next LT Pro" w:hAnsi="Avenir Next LT Pro"/>
        </w:rPr>
        <w:t>Rainbow</w:t>
      </w:r>
      <w:r w:rsidR="003739E6" w:rsidRPr="003739E6">
        <w:rPr>
          <w:rFonts w:ascii="Avenir Next LT Pro" w:hAnsi="Avenir Next LT Pro"/>
        </w:rPr>
        <w:t xml:space="preserve"> Health </w:t>
      </w:r>
      <w:r w:rsidR="001E6FE5">
        <w:rPr>
          <w:rFonts w:ascii="Avenir Next LT Pro" w:hAnsi="Avenir Next LT Pro"/>
        </w:rPr>
        <w:t xml:space="preserve">delivers on its mission in two </w:t>
      </w:r>
      <w:r w:rsidR="00F867D0">
        <w:rPr>
          <w:rFonts w:ascii="Avenir Next LT Pro" w:hAnsi="Avenir Next LT Pro"/>
        </w:rPr>
        <w:t>primary</w:t>
      </w:r>
      <w:r w:rsidR="001E6FE5">
        <w:rPr>
          <w:rFonts w:ascii="Avenir Next LT Pro" w:hAnsi="Avenir Next LT Pro"/>
        </w:rPr>
        <w:t xml:space="preserve"> ways:</w:t>
      </w:r>
    </w:p>
    <w:p w14:paraId="0A5615D0" w14:textId="6D345B9E" w:rsidR="00C8024B" w:rsidRDefault="00A26634" w:rsidP="003739E6">
      <w:pPr>
        <w:pStyle w:val="ListParagraph"/>
        <w:numPr>
          <w:ilvl w:val="0"/>
          <w:numId w:val="1"/>
        </w:numPr>
        <w:rPr>
          <w:rFonts w:ascii="Avenir Next LT Pro" w:hAnsi="Avenir Next LT Pro"/>
        </w:rPr>
      </w:pPr>
      <w:r w:rsidRPr="00A60520">
        <w:rPr>
          <w:rFonts w:ascii="Avenir Next LT Pro" w:hAnsi="Avenir Next LT Pro"/>
          <w:b/>
          <w:bCs/>
        </w:rPr>
        <w:t>We provide compassionate care</w:t>
      </w:r>
      <w:r w:rsidR="00A60520" w:rsidRPr="00A60520">
        <w:rPr>
          <w:rFonts w:ascii="Avenir Next LT Pro" w:hAnsi="Avenir Next LT Pro"/>
          <w:b/>
          <w:bCs/>
        </w:rPr>
        <w:t>:</w:t>
      </w:r>
      <w:r w:rsidR="00A60520">
        <w:rPr>
          <w:rFonts w:ascii="Avenir Next LT Pro" w:hAnsi="Avenir Next LT Pro"/>
        </w:rPr>
        <w:t xml:space="preserve"> health care </w:t>
      </w:r>
      <w:r w:rsidR="003739E6" w:rsidRPr="00A26634">
        <w:rPr>
          <w:rFonts w:ascii="Avenir Next LT Pro" w:hAnsi="Avenir Next LT Pro"/>
        </w:rPr>
        <w:t xml:space="preserve">coordination </w:t>
      </w:r>
      <w:r w:rsidR="00A60520">
        <w:rPr>
          <w:rFonts w:ascii="Avenir Next LT Pro" w:hAnsi="Avenir Next LT Pro"/>
        </w:rPr>
        <w:t xml:space="preserve">and </w:t>
      </w:r>
      <w:r w:rsidR="003739E6" w:rsidRPr="00A26634">
        <w:rPr>
          <w:rFonts w:ascii="Avenir Next LT Pro" w:hAnsi="Avenir Next LT Pro"/>
        </w:rPr>
        <w:t>targeted direct services that responds to unmet community health needs</w:t>
      </w:r>
      <w:r w:rsidR="00D54AEA">
        <w:rPr>
          <w:rFonts w:ascii="Avenir Next LT Pro" w:hAnsi="Avenir Next LT Pro"/>
        </w:rPr>
        <w:t>.</w:t>
      </w:r>
    </w:p>
    <w:p w14:paraId="418BB1ED" w14:textId="77777777" w:rsidR="00D54AEA" w:rsidRDefault="00D54AEA" w:rsidP="00D54AEA">
      <w:pPr>
        <w:pStyle w:val="ListParagraph"/>
        <w:ind w:left="360"/>
        <w:rPr>
          <w:rFonts w:ascii="Avenir Next LT Pro" w:hAnsi="Avenir Next LT Pro"/>
        </w:rPr>
      </w:pPr>
    </w:p>
    <w:p w14:paraId="72FE3857" w14:textId="05641A06" w:rsidR="003739E6" w:rsidRPr="00A60520" w:rsidRDefault="00C8024B" w:rsidP="003739E6">
      <w:pPr>
        <w:pStyle w:val="ListParagraph"/>
        <w:numPr>
          <w:ilvl w:val="0"/>
          <w:numId w:val="1"/>
        </w:numPr>
        <w:rPr>
          <w:rFonts w:ascii="Avenir Next LT Pro" w:hAnsi="Avenir Next LT Pro"/>
        </w:rPr>
      </w:pPr>
      <w:r w:rsidRPr="00C8024B">
        <w:rPr>
          <w:rFonts w:ascii="Avenir Next LT Pro" w:hAnsi="Avenir Next LT Pro"/>
          <w:b/>
          <w:bCs/>
        </w:rPr>
        <w:t xml:space="preserve">We </w:t>
      </w:r>
      <w:r w:rsidR="003739E6" w:rsidRPr="00C8024B">
        <w:rPr>
          <w:rFonts w:ascii="Avenir Next LT Pro" w:hAnsi="Avenir Next LT Pro"/>
          <w:b/>
          <w:bCs/>
        </w:rPr>
        <w:t xml:space="preserve">engage and </w:t>
      </w:r>
      <w:proofErr w:type="gramStart"/>
      <w:r w:rsidR="003739E6" w:rsidRPr="00C8024B">
        <w:rPr>
          <w:rFonts w:ascii="Avenir Next LT Pro" w:hAnsi="Avenir Next LT Pro"/>
          <w:b/>
          <w:bCs/>
        </w:rPr>
        <w:t>empower</w:t>
      </w:r>
      <w:r w:rsidRPr="00C8024B">
        <w:rPr>
          <w:rFonts w:ascii="Avenir Next LT Pro" w:hAnsi="Avenir Next LT Pro"/>
          <w:b/>
          <w:bCs/>
        </w:rPr>
        <w:t>:</w:t>
      </w:r>
      <w:proofErr w:type="gramEnd"/>
      <w:r w:rsidR="003739E6" w:rsidRPr="00A60520">
        <w:rPr>
          <w:rFonts w:ascii="Avenir Next LT Pro" w:hAnsi="Avenir Next LT Pro"/>
        </w:rPr>
        <w:t xml:space="preserve"> </w:t>
      </w:r>
      <w:r w:rsidR="00FB180D">
        <w:rPr>
          <w:rFonts w:ascii="Avenir Next LT Pro" w:hAnsi="Avenir Next LT Pro"/>
        </w:rPr>
        <w:t xml:space="preserve">helping </w:t>
      </w:r>
      <w:r w:rsidR="003739E6" w:rsidRPr="00A60520">
        <w:rPr>
          <w:rFonts w:ascii="Avenir Next LT Pro" w:hAnsi="Avenir Next LT Pro"/>
        </w:rPr>
        <w:t>communities advocate together, and educat</w:t>
      </w:r>
      <w:r w:rsidR="00FB180D">
        <w:rPr>
          <w:rFonts w:ascii="Avenir Next LT Pro" w:hAnsi="Avenir Next LT Pro"/>
        </w:rPr>
        <w:t>ing</w:t>
      </w:r>
      <w:r w:rsidR="00C5739B">
        <w:rPr>
          <w:rFonts w:ascii="Avenir Next LT Pro" w:hAnsi="Avenir Next LT Pro"/>
        </w:rPr>
        <w:t xml:space="preserve"> healthcare product and service</w:t>
      </w:r>
      <w:r w:rsidR="003739E6" w:rsidRPr="00A60520">
        <w:rPr>
          <w:rFonts w:ascii="Avenir Next LT Pro" w:hAnsi="Avenir Next LT Pro"/>
        </w:rPr>
        <w:t xml:space="preserve"> providers, policy makers and the broader public</w:t>
      </w:r>
      <w:r w:rsidR="00FB180D">
        <w:rPr>
          <w:rFonts w:ascii="Avenir Next LT Pro" w:hAnsi="Avenir Next LT Pro"/>
        </w:rPr>
        <w:t xml:space="preserve"> to build care systems that work for everyone</w:t>
      </w:r>
      <w:r w:rsidR="003739E6" w:rsidRPr="00A60520">
        <w:rPr>
          <w:rFonts w:ascii="Avenir Next LT Pro" w:hAnsi="Avenir Next LT Pro"/>
        </w:rPr>
        <w:t xml:space="preserve">.  </w:t>
      </w:r>
    </w:p>
    <w:p w14:paraId="3FC6CC81" w14:textId="77777777" w:rsidR="00F867D0" w:rsidRDefault="00F867D0" w:rsidP="00CA4B00">
      <w:pPr>
        <w:pStyle w:val="NormalWeb"/>
        <w:spacing w:before="0" w:beforeAutospacing="0"/>
        <w:rPr>
          <w:rStyle w:val="Emphasis"/>
          <w:rFonts w:ascii="Avenir Next LT Pro" w:hAnsi="Avenir Next LT Pro" w:cs="Arial"/>
          <w:i w:val="0"/>
          <w:iCs w:val="0"/>
          <w:sz w:val="22"/>
          <w:szCs w:val="22"/>
        </w:rPr>
      </w:pPr>
    </w:p>
    <w:p w14:paraId="48A0574A" w14:textId="29B7DE70" w:rsidR="00F867D0" w:rsidRPr="003739E6" w:rsidRDefault="00F867D0" w:rsidP="00F867D0">
      <w:pPr>
        <w:rPr>
          <w:rFonts w:ascii="Avenir Next LT Pro" w:hAnsi="Avenir Next LT Pro"/>
          <w:sz w:val="36"/>
          <w:szCs w:val="36"/>
        </w:rPr>
      </w:pPr>
      <w:r w:rsidRPr="009353A9">
        <w:rPr>
          <w:rFonts w:ascii="Avenir Next LT Pro" w:hAnsi="Avenir Next LT Pro"/>
          <w:sz w:val="36"/>
          <w:szCs w:val="36"/>
        </w:rPr>
        <w:t xml:space="preserve">Our </w:t>
      </w:r>
      <w:proofErr w:type="gramStart"/>
      <w:r>
        <w:rPr>
          <w:rFonts w:ascii="Avenir Next LT Pro" w:hAnsi="Avenir Next LT Pro"/>
          <w:sz w:val="36"/>
          <w:szCs w:val="36"/>
        </w:rPr>
        <w:t>History</w:t>
      </w:r>
      <w:proofErr w:type="gramEnd"/>
    </w:p>
    <w:p w14:paraId="5F4CEEEE" w14:textId="5D060E02" w:rsidR="00CA4B00" w:rsidRPr="00CA4B00" w:rsidRDefault="3A6DE293" w:rsidP="00F867D0">
      <w:pPr>
        <w:pStyle w:val="NormalWeb"/>
        <w:spacing w:before="0" w:beforeAutospacing="0"/>
        <w:rPr>
          <w:rFonts w:ascii="Avenir Next LT Pro" w:hAnsi="Avenir Next LT Pro" w:cs="Arial"/>
          <w:sz w:val="22"/>
          <w:szCs w:val="22"/>
        </w:rPr>
      </w:pPr>
      <w:r w:rsidRPr="1CF44CB0">
        <w:rPr>
          <w:rFonts w:ascii="Avenir Next LT Pro" w:hAnsi="Avenir Next LT Pro"/>
          <w:sz w:val="22"/>
          <w:szCs w:val="22"/>
        </w:rPr>
        <w:t>Rainbow</w:t>
      </w:r>
      <w:r w:rsidR="00F867D0" w:rsidRPr="005F028F">
        <w:rPr>
          <w:rFonts w:ascii="Avenir Next LT Pro" w:hAnsi="Avenir Next LT Pro"/>
          <w:sz w:val="22"/>
          <w:szCs w:val="22"/>
        </w:rPr>
        <w:t xml:space="preserve"> </w:t>
      </w:r>
      <w:r w:rsidR="00CA4B00" w:rsidRPr="1CF44CB0">
        <w:rPr>
          <w:rFonts w:ascii="Avenir Next LT Pro" w:hAnsi="Avenir Next LT Pro"/>
          <w:sz w:val="22"/>
          <w:szCs w:val="22"/>
        </w:rPr>
        <w:t>Health</w:t>
      </w:r>
      <w:r w:rsidR="00CA4B00" w:rsidRPr="5820CAD3">
        <w:rPr>
          <w:rStyle w:val="Emphasis"/>
          <w:rFonts w:ascii="Avenir Next LT Pro" w:hAnsi="Avenir Next LT Pro" w:cs="Arial"/>
          <w:i w:val="0"/>
          <w:iCs w:val="0"/>
          <w:sz w:val="22"/>
          <w:szCs w:val="22"/>
        </w:rPr>
        <w:t xml:space="preserve"> </w:t>
      </w:r>
      <w:r w:rsidR="0458B215" w:rsidRPr="5820CAD3">
        <w:rPr>
          <w:rStyle w:val="Emphasis"/>
          <w:rFonts w:ascii="Avenir Next LT Pro" w:hAnsi="Avenir Next LT Pro" w:cs="Arial"/>
          <w:i w:val="0"/>
          <w:iCs w:val="0"/>
          <w:sz w:val="22"/>
          <w:szCs w:val="22"/>
        </w:rPr>
        <w:t>(</w:t>
      </w:r>
      <w:r w:rsidR="0458B215" w:rsidRPr="79541307">
        <w:rPr>
          <w:rStyle w:val="Emphasis"/>
          <w:rFonts w:ascii="Avenir Next LT Pro" w:hAnsi="Avenir Next LT Pro" w:cs="Arial"/>
          <w:i w:val="0"/>
          <w:iCs w:val="0"/>
          <w:sz w:val="22"/>
          <w:szCs w:val="22"/>
        </w:rPr>
        <w:t>formerly</w:t>
      </w:r>
      <w:r w:rsidR="00CA4B00" w:rsidRPr="00CA4B00">
        <w:rPr>
          <w:rStyle w:val="Emphasis"/>
          <w:rFonts w:ascii="Avenir Next LT Pro" w:hAnsi="Avenir Next LT Pro" w:cs="Arial"/>
          <w:i w:val="0"/>
          <w:iCs w:val="0"/>
          <w:sz w:val="22"/>
          <w:szCs w:val="22"/>
        </w:rPr>
        <w:t xml:space="preserve"> </w:t>
      </w:r>
      <w:proofErr w:type="spellStart"/>
      <w:r w:rsidR="0458B215" w:rsidRPr="1BD2E487">
        <w:rPr>
          <w:rStyle w:val="Emphasis"/>
          <w:rFonts w:ascii="Avenir Next LT Pro" w:hAnsi="Avenir Next LT Pro" w:cs="Arial"/>
          <w:i w:val="0"/>
          <w:iCs w:val="0"/>
          <w:sz w:val="22"/>
          <w:szCs w:val="22"/>
        </w:rPr>
        <w:t>JustUs</w:t>
      </w:r>
      <w:proofErr w:type="spellEnd"/>
      <w:r w:rsidR="0458B215" w:rsidRPr="1BD2E487">
        <w:rPr>
          <w:rStyle w:val="Emphasis"/>
          <w:rFonts w:ascii="Avenir Next LT Pro" w:hAnsi="Avenir Next LT Pro" w:cs="Arial"/>
          <w:i w:val="0"/>
          <w:iCs w:val="0"/>
          <w:sz w:val="22"/>
          <w:szCs w:val="22"/>
        </w:rPr>
        <w:t xml:space="preserve"> Health) </w:t>
      </w:r>
      <w:r w:rsidR="00CA4B00" w:rsidRPr="00CA4B00">
        <w:rPr>
          <w:rStyle w:val="Emphasis"/>
          <w:rFonts w:ascii="Avenir Next LT Pro" w:hAnsi="Avenir Next LT Pro" w:cs="Arial"/>
          <w:i w:val="0"/>
          <w:iCs w:val="0"/>
          <w:sz w:val="22"/>
          <w:szCs w:val="22"/>
        </w:rPr>
        <w:t xml:space="preserve">was formed in 2018 by the joining of Minnesota AIDS Project </w:t>
      </w:r>
      <w:r w:rsidR="00C433D9">
        <w:rPr>
          <w:rStyle w:val="Emphasis"/>
          <w:rFonts w:ascii="Avenir Next LT Pro" w:hAnsi="Avenir Next LT Pro" w:cs="Arial"/>
          <w:i w:val="0"/>
          <w:iCs w:val="0"/>
          <w:sz w:val="22"/>
          <w:szCs w:val="22"/>
        </w:rPr>
        <w:t xml:space="preserve">(MAP) </w:t>
      </w:r>
      <w:r w:rsidR="00CA4B00" w:rsidRPr="00CA4B00">
        <w:rPr>
          <w:rStyle w:val="Emphasis"/>
          <w:rFonts w:ascii="Avenir Next LT Pro" w:hAnsi="Avenir Next LT Pro" w:cs="Arial"/>
          <w:i w:val="0"/>
          <w:iCs w:val="0"/>
          <w:sz w:val="22"/>
          <w:szCs w:val="22"/>
        </w:rPr>
        <w:t>and Rainbow Health Initiative</w:t>
      </w:r>
      <w:r w:rsidR="005F028F">
        <w:rPr>
          <w:rStyle w:val="Emphasis"/>
          <w:rFonts w:ascii="Avenir Next LT Pro" w:hAnsi="Avenir Next LT Pro" w:cs="Arial"/>
          <w:i w:val="0"/>
          <w:iCs w:val="0"/>
          <w:sz w:val="22"/>
          <w:szCs w:val="22"/>
        </w:rPr>
        <w:t xml:space="preserve"> </w:t>
      </w:r>
      <w:r w:rsidR="00C433D9">
        <w:rPr>
          <w:rStyle w:val="Emphasis"/>
          <w:rFonts w:ascii="Avenir Next LT Pro" w:hAnsi="Avenir Next LT Pro" w:cs="Arial"/>
          <w:i w:val="0"/>
          <w:iCs w:val="0"/>
          <w:sz w:val="22"/>
          <w:szCs w:val="22"/>
        </w:rPr>
        <w:t xml:space="preserve">(RHI) </w:t>
      </w:r>
      <w:r w:rsidR="005F028F">
        <w:rPr>
          <w:rStyle w:val="Emphasis"/>
          <w:rFonts w:ascii="Avenir Next LT Pro" w:hAnsi="Avenir Next LT Pro" w:cs="Arial"/>
          <w:i w:val="0"/>
          <w:iCs w:val="0"/>
          <w:sz w:val="22"/>
          <w:szCs w:val="22"/>
        </w:rPr>
        <w:t xml:space="preserve">with </w:t>
      </w:r>
      <w:r w:rsidR="00CA4B00" w:rsidRPr="00CA4B00">
        <w:rPr>
          <w:rStyle w:val="Emphasis"/>
          <w:rFonts w:ascii="Avenir Next LT Pro" w:hAnsi="Avenir Next LT Pro" w:cs="Arial"/>
          <w:i w:val="0"/>
          <w:iCs w:val="0"/>
          <w:sz w:val="22"/>
          <w:szCs w:val="22"/>
        </w:rPr>
        <w:t xml:space="preserve">the nationally recognized education </w:t>
      </w:r>
      <w:r w:rsidR="005F028F">
        <w:rPr>
          <w:rStyle w:val="Emphasis"/>
          <w:rFonts w:ascii="Avenir Next LT Pro" w:hAnsi="Avenir Next LT Pro" w:cs="Arial"/>
          <w:i w:val="0"/>
          <w:iCs w:val="0"/>
          <w:sz w:val="22"/>
          <w:szCs w:val="22"/>
        </w:rPr>
        <w:t>program</w:t>
      </w:r>
      <w:r w:rsidR="00CA4B00" w:rsidRPr="00CA4B00">
        <w:rPr>
          <w:rStyle w:val="Emphasis"/>
          <w:rFonts w:ascii="Avenir Next LT Pro" w:hAnsi="Avenir Next LT Pro" w:cs="Arial"/>
          <w:i w:val="0"/>
          <w:iCs w:val="0"/>
          <w:sz w:val="22"/>
          <w:szCs w:val="22"/>
        </w:rPr>
        <w:t xml:space="preserve"> Training to Serve</w:t>
      </w:r>
      <w:r w:rsidR="00C433D9">
        <w:rPr>
          <w:rStyle w:val="Emphasis"/>
          <w:rFonts w:ascii="Avenir Next LT Pro" w:hAnsi="Avenir Next LT Pro" w:cs="Arial"/>
          <w:i w:val="0"/>
          <w:iCs w:val="0"/>
          <w:sz w:val="22"/>
          <w:szCs w:val="22"/>
        </w:rPr>
        <w:t xml:space="preserve"> (TTS)</w:t>
      </w:r>
      <w:r w:rsidR="00CA4B00" w:rsidRPr="00CA4B00">
        <w:rPr>
          <w:rStyle w:val="Emphasis"/>
          <w:rFonts w:ascii="Avenir Next LT Pro" w:hAnsi="Avenir Next LT Pro" w:cs="Arial"/>
          <w:i w:val="0"/>
          <w:iCs w:val="0"/>
          <w:sz w:val="22"/>
          <w:szCs w:val="22"/>
        </w:rPr>
        <w:t xml:space="preserve">. </w:t>
      </w:r>
    </w:p>
    <w:p w14:paraId="485FCCD0" w14:textId="7C97A63C" w:rsidR="00C433D9" w:rsidRPr="006C5469" w:rsidRDefault="00667217" w:rsidP="00CA4B00">
      <w:pPr>
        <w:pStyle w:val="NormalWeb"/>
        <w:spacing w:before="0" w:beforeAutospacing="0"/>
        <w:rPr>
          <w:rFonts w:ascii="Avenir Next LT Pro" w:hAnsi="Avenir Next LT Pro" w:cs="Arial"/>
          <w:sz w:val="22"/>
          <w:szCs w:val="22"/>
        </w:rPr>
      </w:pPr>
      <w:r w:rsidRPr="00CA4B00">
        <w:rPr>
          <w:rStyle w:val="Emphasis"/>
          <w:rFonts w:ascii="Avenir Next LT Pro" w:hAnsi="Avenir Next LT Pro" w:cs="Arial"/>
          <w:i w:val="0"/>
          <w:iCs w:val="0"/>
          <w:sz w:val="22"/>
          <w:szCs w:val="22"/>
        </w:rPr>
        <w:t xml:space="preserve">Minnesota AIDS Project </w:t>
      </w:r>
      <w:r>
        <w:rPr>
          <w:rStyle w:val="Emphasis"/>
          <w:rFonts w:ascii="Avenir Next LT Pro" w:hAnsi="Avenir Next LT Pro" w:cs="Arial"/>
          <w:i w:val="0"/>
          <w:iCs w:val="0"/>
          <w:sz w:val="22"/>
          <w:szCs w:val="22"/>
        </w:rPr>
        <w:t xml:space="preserve">(MAP) </w:t>
      </w:r>
      <w:r w:rsidR="00C433D9" w:rsidRPr="00C433D9">
        <w:rPr>
          <w:rFonts w:ascii="Avenir Next LT Pro" w:hAnsi="Avenir Next LT Pro" w:cs="Arial"/>
          <w:sz w:val="22"/>
          <w:szCs w:val="22"/>
        </w:rPr>
        <w:t xml:space="preserve">was </w:t>
      </w:r>
      <w:r w:rsidR="00C433D9" w:rsidRPr="006C5469">
        <w:rPr>
          <w:rFonts w:ascii="Avenir Next LT Pro" w:hAnsi="Avenir Next LT Pro" w:cs="Arial"/>
          <w:sz w:val="22"/>
          <w:szCs w:val="22"/>
        </w:rPr>
        <w:t>founded in 198</w:t>
      </w:r>
      <w:r w:rsidR="009062BF" w:rsidRPr="006C5469">
        <w:rPr>
          <w:rFonts w:ascii="Avenir Next LT Pro" w:hAnsi="Avenir Next LT Pro" w:cs="Arial"/>
          <w:sz w:val="22"/>
          <w:szCs w:val="22"/>
        </w:rPr>
        <w:t>3</w:t>
      </w:r>
      <w:r w:rsidR="00C433D9" w:rsidRPr="006C5469">
        <w:rPr>
          <w:rFonts w:ascii="Avenir Next LT Pro" w:hAnsi="Avenir Next LT Pro" w:cs="Arial"/>
          <w:sz w:val="22"/>
          <w:szCs w:val="22"/>
        </w:rPr>
        <w:t xml:space="preserve"> as the vision of a small group of dedicated gay men – including Bruce Brockway, the first Minnesotan with a documented case of HIV – and became the state’s </w:t>
      </w:r>
      <w:r w:rsidR="007671FC">
        <w:rPr>
          <w:rFonts w:ascii="Avenir Next LT Pro" w:hAnsi="Avenir Next LT Pro" w:cs="Arial"/>
          <w:sz w:val="22"/>
          <w:szCs w:val="22"/>
        </w:rPr>
        <w:t xml:space="preserve">oldest and </w:t>
      </w:r>
      <w:r w:rsidR="00C433D9" w:rsidRPr="006C5469">
        <w:rPr>
          <w:rFonts w:ascii="Avenir Next LT Pro" w:hAnsi="Avenir Next LT Pro" w:cs="Arial"/>
          <w:sz w:val="22"/>
          <w:szCs w:val="22"/>
        </w:rPr>
        <w:t>largest AIDS service organization. From its inception, MAP has been an integral witness to and player in the story of HIV in Minnesota and AIDS in America.</w:t>
      </w:r>
    </w:p>
    <w:p w14:paraId="76FA8901" w14:textId="6E41CACB" w:rsidR="00667217" w:rsidRDefault="00667217" w:rsidP="00CA4B00">
      <w:pPr>
        <w:pStyle w:val="NormalWeb"/>
        <w:spacing w:before="0" w:beforeAutospacing="0"/>
        <w:rPr>
          <w:rFonts w:ascii="Avenir Next LT Pro" w:hAnsi="Avenir Next LT Pro" w:cs="Arial"/>
          <w:sz w:val="22"/>
          <w:szCs w:val="22"/>
          <w:shd w:val="clear" w:color="auto" w:fill="FFFFFF"/>
        </w:rPr>
      </w:pPr>
      <w:r w:rsidRPr="006C5469">
        <w:rPr>
          <w:rStyle w:val="Emphasis"/>
          <w:rFonts w:ascii="Avenir Next LT Pro" w:hAnsi="Avenir Next LT Pro" w:cs="Arial"/>
          <w:i w:val="0"/>
          <w:iCs w:val="0"/>
          <w:sz w:val="22"/>
          <w:szCs w:val="22"/>
        </w:rPr>
        <w:t xml:space="preserve">Rainbow Health Initiative (RHI) was created in 2000 </w:t>
      </w:r>
      <w:r w:rsidRPr="006C5469">
        <w:rPr>
          <w:rFonts w:ascii="Avenir Next LT Pro" w:hAnsi="Avenir Next LT Pro" w:cs="Arial"/>
          <w:sz w:val="22"/>
          <w:szCs w:val="22"/>
          <w:shd w:val="clear" w:color="auto" w:fill="FFFFFF"/>
        </w:rPr>
        <w:t>to improve the health of gay, lesbian, bisexual, and transgender people in Minnesota through education, clinical practice, and research.</w:t>
      </w:r>
      <w:r w:rsidR="009B1360">
        <w:rPr>
          <w:rFonts w:ascii="Avenir Next LT Pro" w:hAnsi="Avenir Next LT Pro" w:cs="Arial"/>
          <w:sz w:val="22"/>
          <w:szCs w:val="22"/>
          <w:shd w:val="clear" w:color="auto" w:fill="FFFFFF"/>
        </w:rPr>
        <w:t xml:space="preserve"> It </w:t>
      </w:r>
      <w:r w:rsidR="00E56C13">
        <w:rPr>
          <w:rFonts w:ascii="Avenir Next LT Pro" w:hAnsi="Avenir Next LT Pro" w:cs="Arial"/>
          <w:sz w:val="22"/>
          <w:szCs w:val="22"/>
          <w:shd w:val="clear" w:color="auto" w:fill="FFFFFF"/>
        </w:rPr>
        <w:t>wa</w:t>
      </w:r>
      <w:r w:rsidR="009B1360">
        <w:rPr>
          <w:rFonts w:ascii="Avenir Next LT Pro" w:hAnsi="Avenir Next LT Pro" w:cs="Arial"/>
          <w:sz w:val="22"/>
          <w:szCs w:val="22"/>
          <w:shd w:val="clear" w:color="auto" w:fill="FFFFFF"/>
        </w:rPr>
        <w:t xml:space="preserve">s the </w:t>
      </w:r>
      <w:r w:rsidR="00E56C13">
        <w:rPr>
          <w:rFonts w:ascii="Avenir Next LT Pro" w:hAnsi="Avenir Next LT Pro" w:cs="Arial"/>
          <w:sz w:val="22"/>
          <w:szCs w:val="22"/>
          <w:shd w:val="clear" w:color="auto" w:fill="FFFFFF"/>
        </w:rPr>
        <w:t xml:space="preserve">first and </w:t>
      </w:r>
      <w:r w:rsidR="009B1360">
        <w:rPr>
          <w:rFonts w:ascii="Avenir Next LT Pro" w:hAnsi="Avenir Next LT Pro" w:cs="Arial"/>
          <w:sz w:val="22"/>
          <w:szCs w:val="22"/>
          <w:shd w:val="clear" w:color="auto" w:fill="FFFFFF"/>
        </w:rPr>
        <w:t xml:space="preserve">only </w:t>
      </w:r>
      <w:r w:rsidR="003A78AB">
        <w:rPr>
          <w:rFonts w:ascii="Avenir Next LT Pro" w:hAnsi="Avenir Next LT Pro" w:cs="Arial"/>
          <w:sz w:val="22"/>
          <w:szCs w:val="22"/>
          <w:shd w:val="clear" w:color="auto" w:fill="FFFFFF"/>
        </w:rPr>
        <w:t>LGBTQ+</w:t>
      </w:r>
      <w:r w:rsidR="00751581">
        <w:rPr>
          <w:rFonts w:ascii="Avenir Next LT Pro" w:hAnsi="Avenir Next LT Pro" w:cs="Arial"/>
          <w:sz w:val="22"/>
          <w:szCs w:val="22"/>
          <w:shd w:val="clear" w:color="auto" w:fill="FFFFFF"/>
        </w:rPr>
        <w:t>-focused</w:t>
      </w:r>
      <w:r w:rsidR="00E56C13">
        <w:rPr>
          <w:rFonts w:ascii="Avenir Next LT Pro" w:hAnsi="Avenir Next LT Pro" w:cs="Arial"/>
          <w:sz w:val="22"/>
          <w:szCs w:val="22"/>
          <w:shd w:val="clear" w:color="auto" w:fill="FFFFFF"/>
        </w:rPr>
        <w:t xml:space="preserve"> health </w:t>
      </w:r>
      <w:r w:rsidR="003422D3">
        <w:rPr>
          <w:rFonts w:ascii="Avenir Next LT Pro" w:hAnsi="Avenir Next LT Pro" w:cs="Arial"/>
          <w:sz w:val="22"/>
          <w:szCs w:val="22"/>
          <w:shd w:val="clear" w:color="auto" w:fill="FFFFFF"/>
        </w:rPr>
        <w:t>organization</w:t>
      </w:r>
      <w:r w:rsidR="00751581">
        <w:rPr>
          <w:rFonts w:ascii="Avenir Next LT Pro" w:hAnsi="Avenir Next LT Pro" w:cs="Arial"/>
          <w:sz w:val="22"/>
          <w:szCs w:val="22"/>
          <w:shd w:val="clear" w:color="auto" w:fill="FFFFFF"/>
        </w:rPr>
        <w:t xml:space="preserve"> in the state</w:t>
      </w:r>
      <w:r w:rsidR="003422D3">
        <w:rPr>
          <w:rFonts w:ascii="Avenir Next LT Pro" w:hAnsi="Avenir Next LT Pro" w:cs="Arial"/>
          <w:sz w:val="22"/>
          <w:szCs w:val="22"/>
          <w:shd w:val="clear" w:color="auto" w:fill="FFFFFF"/>
        </w:rPr>
        <w:t>.</w:t>
      </w:r>
    </w:p>
    <w:p w14:paraId="6E588561" w14:textId="43A3EB25" w:rsidR="007671FC" w:rsidRPr="006C5469" w:rsidRDefault="00D07B93" w:rsidP="00CA4B00">
      <w:pPr>
        <w:pStyle w:val="NormalWeb"/>
        <w:spacing w:before="0" w:beforeAutospacing="0"/>
        <w:rPr>
          <w:rStyle w:val="Emphasis"/>
          <w:rFonts w:ascii="Avenir Next LT Pro" w:hAnsi="Avenir Next LT Pro" w:cs="Arial"/>
          <w:i w:val="0"/>
          <w:iCs w:val="0"/>
          <w:sz w:val="22"/>
          <w:szCs w:val="22"/>
        </w:rPr>
      </w:pPr>
      <w:r>
        <w:rPr>
          <w:rStyle w:val="Emphasis"/>
          <w:rFonts w:ascii="Avenir Next LT Pro" w:hAnsi="Avenir Next LT Pro" w:cs="Arial"/>
          <w:i w:val="0"/>
          <w:iCs w:val="0"/>
          <w:sz w:val="22"/>
          <w:szCs w:val="22"/>
        </w:rPr>
        <w:t>In 2010, Training to Serve (TTS) began delivering its</w:t>
      </w:r>
      <w:r w:rsidR="00D7061F">
        <w:rPr>
          <w:rStyle w:val="Emphasis"/>
          <w:rFonts w:ascii="Avenir Next LT Pro" w:hAnsi="Avenir Next LT Pro" w:cs="Arial"/>
          <w:i w:val="0"/>
          <w:iCs w:val="0"/>
          <w:sz w:val="22"/>
          <w:szCs w:val="22"/>
        </w:rPr>
        <w:t xml:space="preserve"> </w:t>
      </w:r>
      <w:r w:rsidR="00FB506D">
        <w:rPr>
          <w:rStyle w:val="Emphasis"/>
          <w:rFonts w:ascii="Avenir Next LT Pro" w:hAnsi="Avenir Next LT Pro" w:cs="Arial"/>
          <w:i w:val="0"/>
          <w:iCs w:val="0"/>
          <w:sz w:val="22"/>
          <w:szCs w:val="22"/>
        </w:rPr>
        <w:t>nationally recognized</w:t>
      </w:r>
      <w:r w:rsidR="00D7061F">
        <w:rPr>
          <w:rStyle w:val="Emphasis"/>
          <w:rFonts w:ascii="Avenir Next LT Pro" w:hAnsi="Avenir Next LT Pro" w:cs="Arial"/>
          <w:i w:val="0"/>
          <w:iCs w:val="0"/>
          <w:sz w:val="22"/>
          <w:szCs w:val="22"/>
        </w:rPr>
        <w:t xml:space="preserve"> </w:t>
      </w:r>
      <w:r w:rsidR="003A78AB">
        <w:rPr>
          <w:rStyle w:val="Emphasis"/>
          <w:rFonts w:ascii="Avenir Next LT Pro" w:hAnsi="Avenir Next LT Pro" w:cs="Arial"/>
          <w:i w:val="0"/>
          <w:iCs w:val="0"/>
          <w:sz w:val="22"/>
          <w:szCs w:val="22"/>
        </w:rPr>
        <w:t>LGBTQ+</w:t>
      </w:r>
      <w:r w:rsidR="00D7061F">
        <w:rPr>
          <w:rStyle w:val="Emphasis"/>
          <w:rFonts w:ascii="Avenir Next LT Pro" w:hAnsi="Avenir Next LT Pro" w:cs="Arial"/>
          <w:i w:val="0"/>
          <w:iCs w:val="0"/>
          <w:sz w:val="22"/>
          <w:szCs w:val="22"/>
        </w:rPr>
        <w:t xml:space="preserve"> training program for senior care and older adult </w:t>
      </w:r>
      <w:r w:rsidR="007318A5">
        <w:rPr>
          <w:rStyle w:val="Emphasis"/>
          <w:rFonts w:ascii="Avenir Next LT Pro" w:hAnsi="Avenir Next LT Pro" w:cs="Arial"/>
          <w:i w:val="0"/>
          <w:iCs w:val="0"/>
          <w:sz w:val="22"/>
          <w:szCs w:val="22"/>
        </w:rPr>
        <w:t>care organizations.</w:t>
      </w:r>
      <w:r w:rsidR="009C6E9A">
        <w:rPr>
          <w:rStyle w:val="Emphasis"/>
          <w:rFonts w:ascii="Avenir Next LT Pro" w:hAnsi="Avenir Next LT Pro" w:cs="Arial"/>
          <w:i w:val="0"/>
          <w:iCs w:val="0"/>
          <w:sz w:val="22"/>
          <w:szCs w:val="22"/>
        </w:rPr>
        <w:t xml:space="preserve"> Prior to becoming part of </w:t>
      </w:r>
      <w:r w:rsidR="3A6DE293" w:rsidRPr="1CF44CB0">
        <w:rPr>
          <w:rStyle w:val="Emphasis"/>
          <w:rFonts w:ascii="Avenir Next LT Pro" w:hAnsi="Avenir Next LT Pro" w:cs="Arial"/>
          <w:i w:val="0"/>
          <w:iCs w:val="0"/>
          <w:sz w:val="22"/>
          <w:szCs w:val="22"/>
        </w:rPr>
        <w:t>Rainbow</w:t>
      </w:r>
      <w:r w:rsidR="009C6E9A">
        <w:rPr>
          <w:rStyle w:val="Emphasis"/>
          <w:rFonts w:ascii="Avenir Next LT Pro" w:hAnsi="Avenir Next LT Pro" w:cs="Arial"/>
          <w:i w:val="0"/>
          <w:iCs w:val="0"/>
          <w:sz w:val="22"/>
          <w:szCs w:val="22"/>
        </w:rPr>
        <w:t xml:space="preserve"> Health, TTS was the only </w:t>
      </w:r>
      <w:r w:rsidR="003A78AB">
        <w:rPr>
          <w:rStyle w:val="Emphasis"/>
          <w:rFonts w:ascii="Avenir Next LT Pro" w:hAnsi="Avenir Next LT Pro" w:cs="Arial"/>
          <w:i w:val="0"/>
          <w:iCs w:val="0"/>
          <w:sz w:val="22"/>
          <w:szCs w:val="22"/>
        </w:rPr>
        <w:t>LGBTQ+</w:t>
      </w:r>
      <w:r w:rsidR="009C6E9A">
        <w:rPr>
          <w:rStyle w:val="Emphasis"/>
          <w:rFonts w:ascii="Avenir Next LT Pro" w:hAnsi="Avenir Next LT Pro" w:cs="Arial"/>
          <w:i w:val="0"/>
          <w:iCs w:val="0"/>
          <w:sz w:val="22"/>
          <w:szCs w:val="22"/>
        </w:rPr>
        <w:t>-focused senior care education and advocacy program in Minnesota.</w:t>
      </w:r>
    </w:p>
    <w:p w14:paraId="3906968F" w14:textId="3FF68342" w:rsidR="000A1A04" w:rsidRDefault="00FB506D" w:rsidP="00623688">
      <w:pPr>
        <w:pStyle w:val="NormalWeb"/>
        <w:spacing w:before="0" w:beforeAutospacing="0"/>
        <w:rPr>
          <w:rStyle w:val="Emphasis"/>
          <w:rFonts w:ascii="Avenir Next LT Pro" w:hAnsi="Avenir Next LT Pro" w:cs="Arial"/>
          <w:i w:val="0"/>
          <w:iCs w:val="0"/>
          <w:sz w:val="22"/>
          <w:szCs w:val="22"/>
        </w:rPr>
      </w:pPr>
      <w:r>
        <w:rPr>
          <w:rStyle w:val="Emphasis"/>
          <w:rFonts w:ascii="Avenir Next LT Pro" w:hAnsi="Avenir Next LT Pro" w:cs="Arial"/>
          <w:i w:val="0"/>
          <w:iCs w:val="0"/>
          <w:sz w:val="22"/>
          <w:szCs w:val="22"/>
        </w:rPr>
        <w:t>As a unified organization, we</w:t>
      </w:r>
      <w:r w:rsidRPr="00CA4B00">
        <w:rPr>
          <w:rStyle w:val="Emphasis"/>
          <w:rFonts w:ascii="Avenir Next LT Pro" w:hAnsi="Avenir Next LT Pro" w:cs="Arial"/>
          <w:i w:val="0"/>
          <w:iCs w:val="0"/>
          <w:sz w:val="22"/>
          <w:szCs w:val="22"/>
        </w:rPr>
        <w:t xml:space="preserve"> </w:t>
      </w:r>
      <w:r w:rsidRPr="00CE51ED">
        <w:rPr>
          <w:rStyle w:val="Emphasis"/>
          <w:rFonts w:ascii="Avenir Next LT Pro" w:hAnsi="Avenir Next LT Pro" w:cs="Arial"/>
          <w:i w:val="0"/>
          <w:iCs w:val="0"/>
          <w:sz w:val="22"/>
          <w:szCs w:val="22"/>
        </w:rPr>
        <w:t xml:space="preserve">provide the full range of </w:t>
      </w:r>
      <w:r>
        <w:rPr>
          <w:rStyle w:val="Emphasis"/>
          <w:rFonts w:ascii="Avenir Next LT Pro" w:hAnsi="Avenir Next LT Pro" w:cs="Arial"/>
          <w:i w:val="0"/>
          <w:iCs w:val="0"/>
          <w:sz w:val="22"/>
          <w:szCs w:val="22"/>
        </w:rPr>
        <w:t xml:space="preserve">MAP’s </w:t>
      </w:r>
      <w:r w:rsidRPr="00CE51ED">
        <w:rPr>
          <w:rStyle w:val="Emphasis"/>
          <w:rFonts w:ascii="Avenir Next LT Pro" w:hAnsi="Avenir Next LT Pro" w:cs="Arial"/>
          <w:i w:val="0"/>
          <w:iCs w:val="0"/>
          <w:sz w:val="22"/>
          <w:szCs w:val="22"/>
        </w:rPr>
        <w:t xml:space="preserve">prevention, education, advocacy, and support services for people at </w:t>
      </w:r>
      <w:r w:rsidRPr="00C433D9">
        <w:rPr>
          <w:rStyle w:val="Emphasis"/>
          <w:rFonts w:ascii="Avenir Next LT Pro" w:hAnsi="Avenir Next LT Pro" w:cs="Arial"/>
          <w:i w:val="0"/>
          <w:iCs w:val="0"/>
          <w:sz w:val="22"/>
          <w:szCs w:val="22"/>
        </w:rPr>
        <w:t>risk of or affected by HIV, and the innovative research and education programs of Rainbow Health Initiative and Training to Serve.</w:t>
      </w:r>
      <w:r w:rsidR="00751581">
        <w:rPr>
          <w:rStyle w:val="Emphasis"/>
          <w:rFonts w:ascii="Avenir Next LT Pro" w:hAnsi="Avenir Next LT Pro" w:cs="Arial"/>
          <w:i w:val="0"/>
          <w:iCs w:val="0"/>
          <w:sz w:val="22"/>
          <w:szCs w:val="22"/>
        </w:rPr>
        <w:t xml:space="preserve"> </w:t>
      </w:r>
      <w:r w:rsidR="3A6DE293" w:rsidRPr="1CF44CB0">
        <w:rPr>
          <w:rStyle w:val="Emphasis"/>
          <w:rFonts w:ascii="Avenir Next LT Pro" w:hAnsi="Avenir Next LT Pro" w:cs="Arial"/>
          <w:i w:val="0"/>
          <w:iCs w:val="0"/>
          <w:sz w:val="22"/>
          <w:szCs w:val="22"/>
        </w:rPr>
        <w:t>Rainbow</w:t>
      </w:r>
      <w:r w:rsidR="00751581">
        <w:rPr>
          <w:rStyle w:val="Emphasis"/>
          <w:rFonts w:ascii="Avenir Next LT Pro" w:hAnsi="Avenir Next LT Pro" w:cs="Arial"/>
          <w:i w:val="0"/>
          <w:iCs w:val="0"/>
          <w:sz w:val="22"/>
          <w:szCs w:val="22"/>
        </w:rPr>
        <w:t xml:space="preserve"> Health builds on this legacy of care to fight for health justice for the most marginalized in our community.</w:t>
      </w:r>
    </w:p>
    <w:p w14:paraId="6F165629" w14:textId="77777777" w:rsidR="00623688" w:rsidRPr="00623688" w:rsidRDefault="00623688" w:rsidP="00623688">
      <w:pPr>
        <w:pStyle w:val="NormalWeb"/>
        <w:spacing w:before="0" w:beforeAutospacing="0"/>
        <w:rPr>
          <w:rFonts w:ascii="Avenir Next LT Pro" w:hAnsi="Avenir Next LT Pro" w:cs="Arial"/>
          <w:sz w:val="22"/>
          <w:szCs w:val="22"/>
        </w:rPr>
      </w:pPr>
    </w:p>
    <w:p w14:paraId="76D7C686" w14:textId="03DC367D" w:rsidR="00527821" w:rsidRDefault="00527821" w:rsidP="00681456">
      <w:pPr>
        <w:rPr>
          <w:rFonts w:ascii="Avenir Next LT Pro" w:hAnsi="Avenir Next LT Pro"/>
          <w:color w:val="00A9F4"/>
          <w:sz w:val="44"/>
          <w:szCs w:val="44"/>
        </w:rPr>
      </w:pPr>
      <w:r w:rsidRPr="00A66CE0">
        <w:rPr>
          <w:rFonts w:ascii="Avenir Next LT Pro" w:hAnsi="Avenir Next LT Pro"/>
          <w:color w:val="00A9F4"/>
          <w:sz w:val="44"/>
          <w:szCs w:val="44"/>
        </w:rPr>
        <w:lastRenderedPageBreak/>
        <w:t>Our Approach</w:t>
      </w:r>
      <w:r w:rsidR="00A324CA">
        <w:rPr>
          <w:rFonts w:ascii="Avenir Next LT Pro" w:hAnsi="Avenir Next LT Pro"/>
          <w:color w:val="00A9F4"/>
          <w:sz w:val="44"/>
          <w:szCs w:val="44"/>
        </w:rPr>
        <w:t xml:space="preserve"> to </w:t>
      </w:r>
      <w:r w:rsidR="00B75B02">
        <w:rPr>
          <w:rFonts w:ascii="Avenir Next LT Pro" w:hAnsi="Avenir Next LT Pro"/>
          <w:color w:val="00A9F4"/>
          <w:sz w:val="44"/>
          <w:szCs w:val="44"/>
        </w:rPr>
        <w:t>Better Systems of Care</w:t>
      </w:r>
    </w:p>
    <w:p w14:paraId="3471D0E3" w14:textId="2039185E" w:rsidR="005416CB" w:rsidRPr="009353A9" w:rsidRDefault="00314D27" w:rsidP="005416CB">
      <w:pPr>
        <w:rPr>
          <w:rFonts w:ascii="Avenir Next LT Pro" w:hAnsi="Avenir Next LT Pro"/>
          <w:sz w:val="36"/>
          <w:szCs w:val="36"/>
        </w:rPr>
      </w:pPr>
      <w:r>
        <w:rPr>
          <w:rFonts w:ascii="Avenir Next LT Pro" w:hAnsi="Avenir Next LT Pro"/>
          <w:sz w:val="36"/>
          <w:szCs w:val="36"/>
        </w:rPr>
        <w:t xml:space="preserve">Standards of Care for </w:t>
      </w:r>
      <w:r w:rsidR="003A78AB">
        <w:rPr>
          <w:rFonts w:ascii="Avenir Next LT Pro" w:hAnsi="Avenir Next LT Pro"/>
          <w:sz w:val="36"/>
          <w:szCs w:val="36"/>
        </w:rPr>
        <w:t>LGBTQ+</w:t>
      </w:r>
      <w:r>
        <w:rPr>
          <w:rFonts w:ascii="Avenir Next LT Pro" w:hAnsi="Avenir Next LT Pro"/>
          <w:sz w:val="36"/>
          <w:szCs w:val="36"/>
        </w:rPr>
        <w:t xml:space="preserve"> Minnesotans</w:t>
      </w:r>
    </w:p>
    <w:p w14:paraId="27BE8FD5" w14:textId="03BA4846" w:rsidR="00313221" w:rsidRPr="00A33E8D" w:rsidRDefault="3A6DE293" w:rsidP="00313221">
      <w:pPr>
        <w:spacing w:after="0"/>
        <w:rPr>
          <w:rFonts w:ascii="Avenir Next LT Pro" w:hAnsi="Avenir Next LT Pro"/>
        </w:rPr>
      </w:pPr>
      <w:r w:rsidRPr="1CF44CB0">
        <w:rPr>
          <w:rFonts w:ascii="Avenir Next LT Pro" w:hAnsi="Avenir Next LT Pro"/>
        </w:rPr>
        <w:t>Rainbow</w:t>
      </w:r>
      <w:r w:rsidR="00313221" w:rsidRPr="00A33E8D">
        <w:rPr>
          <w:rFonts w:ascii="Avenir Next LT Pro" w:hAnsi="Avenir Next LT Pro"/>
        </w:rPr>
        <w:t xml:space="preserve"> Health has developed standards and recommended practices for equitable and inclusive care for </w:t>
      </w:r>
      <w:r w:rsidR="003A78AB">
        <w:rPr>
          <w:rFonts w:ascii="Avenir Next LT Pro" w:hAnsi="Avenir Next LT Pro"/>
        </w:rPr>
        <w:t>LGBTQ+</w:t>
      </w:r>
      <w:r w:rsidR="00313221" w:rsidRPr="00A33E8D">
        <w:rPr>
          <w:rFonts w:ascii="Avenir Next LT Pro" w:hAnsi="Avenir Next LT Pro"/>
        </w:rPr>
        <w:t xml:space="preserve"> individuals. </w:t>
      </w:r>
      <w:r w:rsidR="002E7F0C">
        <w:rPr>
          <w:rFonts w:ascii="Avenir Next LT Pro" w:hAnsi="Avenir Next LT Pro"/>
        </w:rPr>
        <w:t>W</w:t>
      </w:r>
      <w:r w:rsidR="00313221" w:rsidRPr="00A33E8D">
        <w:rPr>
          <w:rFonts w:ascii="Avenir Next LT Pro" w:hAnsi="Avenir Next LT Pro"/>
        </w:rPr>
        <w:t xml:space="preserve">e </w:t>
      </w:r>
      <w:r w:rsidR="002E7F0C">
        <w:rPr>
          <w:rFonts w:ascii="Avenir Next LT Pro" w:hAnsi="Avenir Next LT Pro"/>
        </w:rPr>
        <w:t xml:space="preserve">also </w:t>
      </w:r>
      <w:r w:rsidR="00CB4D52">
        <w:rPr>
          <w:rFonts w:ascii="Avenir Next LT Pro" w:hAnsi="Avenir Next LT Pro"/>
        </w:rPr>
        <w:t>work with organizations</w:t>
      </w:r>
      <w:r w:rsidR="00313221" w:rsidRPr="00A33E8D">
        <w:rPr>
          <w:rFonts w:ascii="Avenir Next LT Pro" w:hAnsi="Avenir Next LT Pro"/>
        </w:rPr>
        <w:t xml:space="preserve"> to incorporate </w:t>
      </w:r>
      <w:r w:rsidR="00CB4D52">
        <w:rPr>
          <w:rFonts w:ascii="Avenir Next LT Pro" w:hAnsi="Avenir Next LT Pro"/>
        </w:rPr>
        <w:t>customized</w:t>
      </w:r>
      <w:r w:rsidR="00313221" w:rsidRPr="00A33E8D">
        <w:rPr>
          <w:rFonts w:ascii="Avenir Next LT Pro" w:hAnsi="Avenir Next LT Pro"/>
        </w:rPr>
        <w:t xml:space="preserve"> and sector-specific standards depending on their capacities and community needs. Our goal is</w:t>
      </w:r>
      <w:r w:rsidR="002E7F0C">
        <w:rPr>
          <w:rFonts w:ascii="Avenir Next LT Pro" w:hAnsi="Avenir Next LT Pro"/>
        </w:rPr>
        <w:t xml:space="preserve"> </w:t>
      </w:r>
      <w:r w:rsidR="00313221" w:rsidRPr="00A33E8D">
        <w:rPr>
          <w:rFonts w:ascii="Avenir Next LT Pro" w:hAnsi="Avenir Next LT Pro"/>
        </w:rPr>
        <w:t xml:space="preserve">to enable you to deliver the best quality care guided by our </w:t>
      </w:r>
      <w:r w:rsidR="003A78AB">
        <w:rPr>
          <w:rFonts w:ascii="Avenir Next LT Pro" w:hAnsi="Avenir Next LT Pro"/>
        </w:rPr>
        <w:t>LGBTQ+</w:t>
      </w:r>
      <w:r w:rsidR="00313221" w:rsidRPr="00A33E8D">
        <w:rPr>
          <w:rFonts w:ascii="Avenir Next LT Pro" w:hAnsi="Avenir Next LT Pro"/>
        </w:rPr>
        <w:t xml:space="preserve"> Standards of Inclusion that: </w:t>
      </w:r>
    </w:p>
    <w:p w14:paraId="1ADF78FA" w14:textId="77777777" w:rsidR="00313221" w:rsidRPr="00A33E8D" w:rsidRDefault="00313221" w:rsidP="00313221">
      <w:pPr>
        <w:spacing w:after="0"/>
        <w:rPr>
          <w:rFonts w:ascii="Avenir Next LT Pro" w:hAnsi="Avenir Next LT Pro"/>
        </w:rPr>
      </w:pPr>
    </w:p>
    <w:p w14:paraId="25D460EB" w14:textId="0FEA30AC" w:rsidR="007E4366" w:rsidRPr="007E4366" w:rsidRDefault="00313221" w:rsidP="00313221">
      <w:pPr>
        <w:spacing w:after="0"/>
        <w:rPr>
          <w:rFonts w:ascii="Avenir Next LT Pro" w:hAnsi="Avenir Next LT Pro"/>
          <w:b/>
          <w:bCs/>
        </w:rPr>
      </w:pPr>
      <w:r w:rsidRPr="007E4366">
        <w:rPr>
          <w:rFonts w:ascii="Avenir Next LT Pro" w:hAnsi="Avenir Next LT Pro"/>
          <w:b/>
          <w:bCs/>
        </w:rPr>
        <w:t xml:space="preserve">CREATE AND SUSTAIN AN INCLUSIVE PHYSICAL ENVIRONMENT FOR </w:t>
      </w:r>
      <w:r w:rsidR="003A78AB">
        <w:rPr>
          <w:rFonts w:ascii="Avenir Next LT Pro" w:hAnsi="Avenir Next LT Pro"/>
          <w:b/>
          <w:bCs/>
        </w:rPr>
        <w:t>LGBTQ+</w:t>
      </w:r>
      <w:r w:rsidRPr="007E4366">
        <w:rPr>
          <w:rFonts w:ascii="Avenir Next LT Pro" w:hAnsi="Avenir Next LT Pro"/>
          <w:b/>
          <w:bCs/>
        </w:rPr>
        <w:t xml:space="preserve"> </w:t>
      </w:r>
      <w:r w:rsidR="009D305A">
        <w:rPr>
          <w:rFonts w:ascii="Avenir Next LT Pro" w:hAnsi="Avenir Next LT Pro"/>
          <w:b/>
          <w:bCs/>
        </w:rPr>
        <w:t>PEOPLE</w:t>
      </w:r>
      <w:r w:rsidRPr="007E4366">
        <w:rPr>
          <w:rFonts w:ascii="Avenir Next LT Pro" w:hAnsi="Avenir Next LT Pro"/>
          <w:b/>
          <w:bCs/>
        </w:rPr>
        <w:t xml:space="preserve"> </w:t>
      </w:r>
    </w:p>
    <w:p w14:paraId="0A30D3FC" w14:textId="4EBC26C0" w:rsidR="00313221" w:rsidRPr="00A33E8D" w:rsidRDefault="00751581" w:rsidP="00313221">
      <w:pPr>
        <w:spacing w:after="0"/>
        <w:rPr>
          <w:rFonts w:ascii="Avenir Next LT Pro" w:hAnsi="Avenir Next LT Pro"/>
        </w:rPr>
      </w:pPr>
      <w:r>
        <w:rPr>
          <w:rFonts w:ascii="Avenir Next LT Pro" w:hAnsi="Avenir Next LT Pro"/>
        </w:rPr>
        <w:t>H</w:t>
      </w:r>
      <w:r w:rsidR="00313221" w:rsidRPr="00A33E8D">
        <w:rPr>
          <w:rFonts w:ascii="Avenir Next LT Pro" w:hAnsi="Avenir Next LT Pro"/>
        </w:rPr>
        <w:t xml:space="preserve">ow </w:t>
      </w:r>
      <w:r w:rsidR="00F74BC3">
        <w:rPr>
          <w:rFonts w:ascii="Avenir Next LT Pro" w:hAnsi="Avenir Next LT Pro"/>
        </w:rPr>
        <w:t>your</w:t>
      </w:r>
      <w:r w:rsidR="00313221" w:rsidRPr="00A33E8D">
        <w:rPr>
          <w:rFonts w:ascii="Avenir Next LT Pro" w:hAnsi="Avenir Next LT Pro"/>
        </w:rPr>
        <w:t xml:space="preserve"> physical environment contributes to </w:t>
      </w:r>
      <w:r w:rsidR="003A78AB">
        <w:rPr>
          <w:rFonts w:ascii="Avenir Next LT Pro" w:hAnsi="Avenir Next LT Pro"/>
        </w:rPr>
        <w:t>LGBTQ+</w:t>
      </w:r>
      <w:r w:rsidR="00313221" w:rsidRPr="00A33E8D">
        <w:rPr>
          <w:rFonts w:ascii="Avenir Next LT Pro" w:hAnsi="Avenir Next LT Pro"/>
        </w:rPr>
        <w:t xml:space="preserve"> inclusion</w:t>
      </w:r>
      <w:r w:rsidR="009D305A">
        <w:rPr>
          <w:rFonts w:ascii="Avenir Next LT Pro" w:hAnsi="Avenir Next LT Pro"/>
        </w:rPr>
        <w:t xml:space="preserve"> </w:t>
      </w:r>
      <w:r>
        <w:rPr>
          <w:rFonts w:ascii="Avenir Next LT Pro" w:hAnsi="Avenir Next LT Pro"/>
        </w:rPr>
        <w:t>by</w:t>
      </w:r>
      <w:r w:rsidR="009D305A">
        <w:rPr>
          <w:rFonts w:ascii="Avenir Next LT Pro" w:hAnsi="Avenir Next LT Pro"/>
        </w:rPr>
        <w:t xml:space="preserve"> enabl</w:t>
      </w:r>
      <w:r>
        <w:rPr>
          <w:rFonts w:ascii="Avenir Next LT Pro" w:hAnsi="Avenir Next LT Pro"/>
        </w:rPr>
        <w:t>ing</w:t>
      </w:r>
      <w:r w:rsidR="009D305A">
        <w:rPr>
          <w:rFonts w:ascii="Avenir Next LT Pro" w:hAnsi="Avenir Next LT Pro"/>
        </w:rPr>
        <w:t xml:space="preserve"> you to </w:t>
      </w:r>
      <w:r w:rsidR="00313221" w:rsidRPr="00A33E8D">
        <w:rPr>
          <w:rFonts w:ascii="Avenir Next LT Pro" w:hAnsi="Avenir Next LT Pro"/>
        </w:rPr>
        <w:t xml:space="preserve">develop inclusive </w:t>
      </w:r>
      <w:r w:rsidR="00095B2F">
        <w:rPr>
          <w:rFonts w:ascii="Avenir Next LT Pro" w:hAnsi="Avenir Next LT Pro"/>
        </w:rPr>
        <w:t xml:space="preserve">facilities </w:t>
      </w:r>
      <w:r w:rsidR="007C531D">
        <w:rPr>
          <w:rFonts w:ascii="Avenir Next LT Pro" w:hAnsi="Avenir Next LT Pro"/>
        </w:rPr>
        <w:t xml:space="preserve">that welcome </w:t>
      </w:r>
      <w:r w:rsidR="003A78AB">
        <w:rPr>
          <w:rFonts w:ascii="Avenir Next LT Pro" w:hAnsi="Avenir Next LT Pro"/>
        </w:rPr>
        <w:t>LGBTQ+</w:t>
      </w:r>
      <w:r w:rsidR="007C531D">
        <w:rPr>
          <w:rFonts w:ascii="Avenir Next LT Pro" w:hAnsi="Avenir Next LT Pro"/>
        </w:rPr>
        <w:t xml:space="preserve"> people</w:t>
      </w:r>
      <w:r w:rsidR="00313221" w:rsidRPr="00A33E8D">
        <w:rPr>
          <w:rFonts w:ascii="Avenir Next LT Pro" w:hAnsi="Avenir Next LT Pro"/>
        </w:rPr>
        <w:t>.</w:t>
      </w:r>
    </w:p>
    <w:p w14:paraId="0E4110C3" w14:textId="77777777" w:rsidR="00313221" w:rsidRPr="00A33E8D" w:rsidRDefault="00313221" w:rsidP="00313221">
      <w:pPr>
        <w:spacing w:after="0"/>
        <w:rPr>
          <w:rFonts w:ascii="Avenir Next LT Pro" w:hAnsi="Avenir Next LT Pro"/>
        </w:rPr>
      </w:pPr>
    </w:p>
    <w:p w14:paraId="19964DFA" w14:textId="3B8CE10D" w:rsidR="007E4366" w:rsidRPr="007E4366" w:rsidRDefault="00313221" w:rsidP="00313221">
      <w:pPr>
        <w:spacing w:after="0"/>
        <w:rPr>
          <w:rFonts w:ascii="Avenir Next LT Pro" w:hAnsi="Avenir Next LT Pro"/>
          <w:b/>
          <w:bCs/>
        </w:rPr>
      </w:pPr>
      <w:r w:rsidRPr="007E4366">
        <w:rPr>
          <w:rFonts w:ascii="Avenir Next LT Pro" w:hAnsi="Avenir Next LT Pro"/>
          <w:b/>
          <w:bCs/>
        </w:rPr>
        <w:t xml:space="preserve">RECRUIT AND RETAIN </w:t>
      </w:r>
      <w:r w:rsidR="003A78AB">
        <w:rPr>
          <w:rFonts w:ascii="Avenir Next LT Pro" w:hAnsi="Avenir Next LT Pro"/>
          <w:b/>
          <w:bCs/>
        </w:rPr>
        <w:t>LGBTQ+</w:t>
      </w:r>
      <w:r w:rsidRPr="007E4366">
        <w:rPr>
          <w:rFonts w:ascii="Avenir Next LT Pro" w:hAnsi="Avenir Next LT Pro"/>
          <w:b/>
          <w:bCs/>
        </w:rPr>
        <w:t xml:space="preserve"> EMPLOYEES </w:t>
      </w:r>
    </w:p>
    <w:p w14:paraId="712CD4BD" w14:textId="462AB7F9" w:rsidR="00313221" w:rsidRPr="00A33E8D" w:rsidRDefault="00751581" w:rsidP="00313221">
      <w:pPr>
        <w:spacing w:after="0"/>
        <w:rPr>
          <w:rFonts w:ascii="Avenir Next LT Pro" w:hAnsi="Avenir Next LT Pro"/>
        </w:rPr>
      </w:pPr>
      <w:r>
        <w:rPr>
          <w:rFonts w:ascii="Avenir Next LT Pro" w:hAnsi="Avenir Next LT Pro"/>
        </w:rPr>
        <w:t>How you develop</w:t>
      </w:r>
      <w:r w:rsidR="00313221" w:rsidRPr="00A33E8D">
        <w:rPr>
          <w:rFonts w:ascii="Avenir Next LT Pro" w:hAnsi="Avenir Next LT Pro"/>
        </w:rPr>
        <w:t xml:space="preserve"> inclusive recruitment and retention practices for </w:t>
      </w:r>
      <w:r w:rsidR="003A78AB">
        <w:rPr>
          <w:rFonts w:ascii="Avenir Next LT Pro" w:hAnsi="Avenir Next LT Pro"/>
        </w:rPr>
        <w:t>LGBTQ+</w:t>
      </w:r>
      <w:r w:rsidR="00313221" w:rsidRPr="00A33E8D">
        <w:rPr>
          <w:rFonts w:ascii="Avenir Next LT Pro" w:hAnsi="Avenir Next LT Pro"/>
        </w:rPr>
        <w:t xml:space="preserve"> individuals</w:t>
      </w:r>
      <w:r>
        <w:rPr>
          <w:rFonts w:ascii="Avenir Next LT Pro" w:hAnsi="Avenir Next LT Pro"/>
        </w:rPr>
        <w:t xml:space="preserve"> to thrive in your organization</w:t>
      </w:r>
      <w:r w:rsidR="00313221" w:rsidRPr="00A33E8D">
        <w:rPr>
          <w:rFonts w:ascii="Avenir Next LT Pro" w:hAnsi="Avenir Next LT Pro"/>
        </w:rPr>
        <w:t>.</w:t>
      </w:r>
    </w:p>
    <w:p w14:paraId="5FEA56F0" w14:textId="77777777" w:rsidR="00313221" w:rsidRPr="00A33E8D" w:rsidRDefault="00313221" w:rsidP="00313221">
      <w:pPr>
        <w:spacing w:after="0"/>
        <w:rPr>
          <w:rFonts w:ascii="Avenir Next LT Pro" w:hAnsi="Avenir Next LT Pro"/>
        </w:rPr>
      </w:pPr>
    </w:p>
    <w:p w14:paraId="39850C90" w14:textId="137A16D8" w:rsidR="0064739E" w:rsidRPr="0064739E" w:rsidRDefault="003A78AB" w:rsidP="00313221">
      <w:pPr>
        <w:spacing w:after="0"/>
        <w:rPr>
          <w:rFonts w:ascii="Avenir Next LT Pro" w:hAnsi="Avenir Next LT Pro"/>
          <w:b/>
          <w:bCs/>
        </w:rPr>
      </w:pPr>
      <w:r>
        <w:rPr>
          <w:rFonts w:ascii="Avenir Next LT Pro" w:hAnsi="Avenir Next LT Pro"/>
          <w:b/>
          <w:bCs/>
        </w:rPr>
        <w:t>LGBTQ+</w:t>
      </w:r>
      <w:r w:rsidR="00313221" w:rsidRPr="0064739E">
        <w:rPr>
          <w:rFonts w:ascii="Avenir Next LT Pro" w:hAnsi="Avenir Next LT Pro"/>
          <w:b/>
          <w:bCs/>
        </w:rPr>
        <w:t xml:space="preserve"> CULTURALLY RESPONSIVE EDUCATION FOR </w:t>
      </w:r>
      <w:r w:rsidR="002E5BBB">
        <w:rPr>
          <w:rFonts w:ascii="Avenir Next LT Pro" w:hAnsi="Avenir Next LT Pro"/>
          <w:b/>
          <w:bCs/>
        </w:rPr>
        <w:t>HEALTHCARE PRODUCT AND SERVICE PROVIDERS</w:t>
      </w:r>
      <w:r w:rsidR="00313221" w:rsidRPr="0064739E">
        <w:rPr>
          <w:rFonts w:ascii="Avenir Next LT Pro" w:hAnsi="Avenir Next LT Pro"/>
          <w:b/>
          <w:bCs/>
        </w:rPr>
        <w:t xml:space="preserve"> AND SUPPORT STAFF </w:t>
      </w:r>
    </w:p>
    <w:p w14:paraId="570E4DE8" w14:textId="1BE3F409" w:rsidR="00663DEA" w:rsidRDefault="00663DEA" w:rsidP="00313221">
      <w:pPr>
        <w:spacing w:after="0"/>
        <w:rPr>
          <w:rFonts w:ascii="Avenir Next LT Pro" w:hAnsi="Avenir Next LT Pro"/>
        </w:rPr>
      </w:pPr>
      <w:r>
        <w:rPr>
          <w:rFonts w:ascii="Avenir Next LT Pro" w:hAnsi="Avenir Next LT Pro"/>
        </w:rPr>
        <w:t>Although customized for each organization, g</w:t>
      </w:r>
      <w:r w:rsidR="00313221" w:rsidRPr="00A33E8D">
        <w:rPr>
          <w:rFonts w:ascii="Avenir Next LT Pro" w:hAnsi="Avenir Next LT Pro"/>
        </w:rPr>
        <w:t xml:space="preserve">eneral outcomes of education </w:t>
      </w:r>
      <w:proofErr w:type="gramStart"/>
      <w:r w:rsidR="00313221" w:rsidRPr="00A33E8D">
        <w:rPr>
          <w:rFonts w:ascii="Avenir Next LT Pro" w:hAnsi="Avenir Next LT Pro"/>
        </w:rPr>
        <w:t>include</w:t>
      </w:r>
      <w:r w:rsidR="00751581">
        <w:rPr>
          <w:rFonts w:ascii="Avenir Next LT Pro" w:hAnsi="Avenir Next LT Pro"/>
        </w:rPr>
        <w:t>s</w:t>
      </w:r>
      <w:proofErr w:type="gramEnd"/>
      <w:r w:rsidR="00313221" w:rsidRPr="00A33E8D">
        <w:rPr>
          <w:rFonts w:ascii="Avenir Next LT Pro" w:hAnsi="Avenir Next LT Pro"/>
        </w:rPr>
        <w:t xml:space="preserve">: </w:t>
      </w:r>
    </w:p>
    <w:p w14:paraId="68F0D16A" w14:textId="21765A70" w:rsidR="00663DEA" w:rsidRPr="00FD5239" w:rsidRDefault="00313221" w:rsidP="00FD5239">
      <w:pPr>
        <w:pStyle w:val="ListParagraph"/>
        <w:numPr>
          <w:ilvl w:val="0"/>
          <w:numId w:val="2"/>
        </w:numPr>
        <w:spacing w:after="0"/>
        <w:rPr>
          <w:rFonts w:ascii="Avenir Next LT Pro" w:hAnsi="Avenir Next LT Pro"/>
        </w:rPr>
      </w:pPr>
      <w:r w:rsidRPr="00FD5239">
        <w:rPr>
          <w:rFonts w:ascii="Avenir Next LT Pro" w:hAnsi="Avenir Next LT Pro"/>
        </w:rPr>
        <w:t xml:space="preserve">Knowledge and comprehension of </w:t>
      </w:r>
      <w:r w:rsidR="003A78AB">
        <w:rPr>
          <w:rFonts w:ascii="Avenir Next LT Pro" w:hAnsi="Avenir Next LT Pro"/>
        </w:rPr>
        <w:t>LGBTQ+</w:t>
      </w:r>
      <w:r w:rsidRPr="00FD5239">
        <w:rPr>
          <w:rFonts w:ascii="Avenir Next LT Pro" w:hAnsi="Avenir Next LT Pro"/>
        </w:rPr>
        <w:t xml:space="preserve"> communities’ characteristics and needs. </w:t>
      </w:r>
    </w:p>
    <w:p w14:paraId="5A09A804" w14:textId="2305821F" w:rsidR="00663DEA" w:rsidRPr="00FD5239" w:rsidRDefault="00313221" w:rsidP="00FD5239">
      <w:pPr>
        <w:pStyle w:val="ListParagraph"/>
        <w:numPr>
          <w:ilvl w:val="0"/>
          <w:numId w:val="2"/>
        </w:numPr>
        <w:spacing w:after="0"/>
        <w:rPr>
          <w:rFonts w:ascii="Avenir Next LT Pro" w:hAnsi="Avenir Next LT Pro"/>
        </w:rPr>
      </w:pPr>
      <w:r w:rsidRPr="00FD5239">
        <w:rPr>
          <w:rFonts w:ascii="Avenir Next LT Pro" w:hAnsi="Avenir Next LT Pro"/>
        </w:rPr>
        <w:t xml:space="preserve">Knowledge and comprehension of </w:t>
      </w:r>
      <w:r w:rsidR="003A78AB">
        <w:rPr>
          <w:rFonts w:ascii="Avenir Next LT Pro" w:hAnsi="Avenir Next LT Pro"/>
        </w:rPr>
        <w:t>LGBTQ+</w:t>
      </w:r>
      <w:r w:rsidRPr="00FD5239">
        <w:rPr>
          <w:rFonts w:ascii="Avenir Next LT Pro" w:hAnsi="Avenir Next LT Pro"/>
        </w:rPr>
        <w:t xml:space="preserve"> health disparities, including contributing factors and influences. </w:t>
      </w:r>
    </w:p>
    <w:p w14:paraId="282AD296" w14:textId="5421E70A" w:rsidR="00663DEA" w:rsidRPr="00FD5239" w:rsidRDefault="00FD5239" w:rsidP="00FD5239">
      <w:pPr>
        <w:pStyle w:val="ListParagraph"/>
        <w:numPr>
          <w:ilvl w:val="0"/>
          <w:numId w:val="2"/>
        </w:numPr>
        <w:spacing w:after="0"/>
        <w:rPr>
          <w:rFonts w:ascii="Avenir Next LT Pro" w:hAnsi="Avenir Next LT Pro"/>
        </w:rPr>
      </w:pPr>
      <w:r w:rsidRPr="00FD5239">
        <w:rPr>
          <w:rFonts w:ascii="Avenir Next LT Pro" w:hAnsi="Avenir Next LT Pro"/>
        </w:rPr>
        <w:t>K</w:t>
      </w:r>
      <w:r w:rsidR="00313221" w:rsidRPr="00FD5239">
        <w:rPr>
          <w:rFonts w:ascii="Avenir Next LT Pro" w:hAnsi="Avenir Next LT Pro"/>
        </w:rPr>
        <w:t xml:space="preserve">nowledge, </w:t>
      </w:r>
      <w:proofErr w:type="gramStart"/>
      <w:r w:rsidR="00313221" w:rsidRPr="00FD5239">
        <w:rPr>
          <w:rFonts w:ascii="Avenir Next LT Pro" w:hAnsi="Avenir Next LT Pro"/>
        </w:rPr>
        <w:t>comprehension</w:t>
      </w:r>
      <w:proofErr w:type="gramEnd"/>
      <w:r w:rsidR="00313221" w:rsidRPr="00FD5239">
        <w:rPr>
          <w:rFonts w:ascii="Avenir Next LT Pro" w:hAnsi="Avenir Next LT Pro"/>
        </w:rPr>
        <w:t xml:space="preserve"> and engagement with one’s own cultural background such that one </w:t>
      </w:r>
      <w:r w:rsidR="00480ED5" w:rsidRPr="00FD5239">
        <w:rPr>
          <w:rFonts w:ascii="Avenir Next LT Pro" w:hAnsi="Avenir Next LT Pro"/>
        </w:rPr>
        <w:t>can</w:t>
      </w:r>
      <w:r w:rsidR="00313221" w:rsidRPr="00FD5239">
        <w:rPr>
          <w:rFonts w:ascii="Avenir Next LT Pro" w:hAnsi="Avenir Next LT Pro"/>
        </w:rPr>
        <w:t xml:space="preserve"> understand the conscious and unconscious ways that their culture influences their behavior. </w:t>
      </w:r>
    </w:p>
    <w:p w14:paraId="68632C2B" w14:textId="11F5ACC9" w:rsidR="00FD5239" w:rsidRPr="00FD5239" w:rsidRDefault="00313221" w:rsidP="00FD5239">
      <w:pPr>
        <w:pStyle w:val="ListParagraph"/>
        <w:numPr>
          <w:ilvl w:val="0"/>
          <w:numId w:val="2"/>
        </w:numPr>
        <w:spacing w:after="0"/>
        <w:rPr>
          <w:rFonts w:ascii="Avenir Next LT Pro" w:hAnsi="Avenir Next LT Pro"/>
        </w:rPr>
      </w:pPr>
      <w:r w:rsidRPr="00FD5239">
        <w:rPr>
          <w:rFonts w:ascii="Avenir Next LT Pro" w:hAnsi="Avenir Next LT Pro"/>
        </w:rPr>
        <w:t xml:space="preserve">Knowledge, </w:t>
      </w:r>
      <w:proofErr w:type="gramStart"/>
      <w:r w:rsidRPr="00FD5239">
        <w:rPr>
          <w:rFonts w:ascii="Avenir Next LT Pro" w:hAnsi="Avenir Next LT Pro"/>
        </w:rPr>
        <w:t>comprehension</w:t>
      </w:r>
      <w:proofErr w:type="gramEnd"/>
      <w:r w:rsidRPr="00FD5239">
        <w:rPr>
          <w:rFonts w:ascii="Avenir Next LT Pro" w:hAnsi="Avenir Next LT Pro"/>
        </w:rPr>
        <w:t xml:space="preserve"> and assessment of cultural competency skills as they relate to </w:t>
      </w:r>
      <w:r w:rsidR="003A78AB">
        <w:rPr>
          <w:rFonts w:ascii="Avenir Next LT Pro" w:hAnsi="Avenir Next LT Pro"/>
        </w:rPr>
        <w:t>LGBTQ+</w:t>
      </w:r>
      <w:r w:rsidRPr="00FD5239">
        <w:rPr>
          <w:rFonts w:ascii="Avenir Next LT Pro" w:hAnsi="Avenir Next LT Pro"/>
        </w:rPr>
        <w:t xml:space="preserve"> communities. </w:t>
      </w:r>
    </w:p>
    <w:p w14:paraId="4110E61F" w14:textId="20FF83BA" w:rsidR="00313221" w:rsidRPr="00FD5239" w:rsidRDefault="00313221" w:rsidP="00FD5239">
      <w:pPr>
        <w:pStyle w:val="ListParagraph"/>
        <w:numPr>
          <w:ilvl w:val="0"/>
          <w:numId w:val="2"/>
        </w:numPr>
        <w:spacing w:after="0"/>
        <w:rPr>
          <w:rFonts w:ascii="Avenir Next LT Pro" w:hAnsi="Avenir Next LT Pro"/>
        </w:rPr>
      </w:pPr>
      <w:r w:rsidRPr="00FD5239">
        <w:rPr>
          <w:rFonts w:ascii="Avenir Next LT Pro" w:hAnsi="Avenir Next LT Pro"/>
        </w:rPr>
        <w:t xml:space="preserve">Ability to utilize knowledge to create equitable and inclusive environments for </w:t>
      </w:r>
      <w:r w:rsidR="003A78AB">
        <w:rPr>
          <w:rFonts w:ascii="Avenir Next LT Pro" w:hAnsi="Avenir Next LT Pro"/>
        </w:rPr>
        <w:t>LGBTQ+</w:t>
      </w:r>
      <w:r w:rsidRPr="00FD5239">
        <w:rPr>
          <w:rFonts w:ascii="Avenir Next LT Pro" w:hAnsi="Avenir Next LT Pro"/>
        </w:rPr>
        <w:t xml:space="preserve"> communities within care facilities.</w:t>
      </w:r>
    </w:p>
    <w:p w14:paraId="4058FB7E" w14:textId="77777777" w:rsidR="00313221" w:rsidRPr="00A33E8D" w:rsidRDefault="00313221" w:rsidP="00313221">
      <w:pPr>
        <w:spacing w:after="0"/>
        <w:rPr>
          <w:rFonts w:ascii="Avenir Next LT Pro" w:hAnsi="Avenir Next LT Pro"/>
        </w:rPr>
      </w:pPr>
    </w:p>
    <w:p w14:paraId="00B47C20" w14:textId="77777777" w:rsidR="00480ED5" w:rsidRPr="00480ED5" w:rsidRDefault="00313221" w:rsidP="00313221">
      <w:pPr>
        <w:spacing w:after="0"/>
        <w:rPr>
          <w:rFonts w:ascii="Avenir Next LT Pro" w:hAnsi="Avenir Next LT Pro"/>
          <w:b/>
          <w:bCs/>
        </w:rPr>
      </w:pPr>
      <w:r w:rsidRPr="00480ED5">
        <w:rPr>
          <w:rFonts w:ascii="Avenir Next LT Pro" w:hAnsi="Avenir Next LT Pro"/>
          <w:b/>
          <w:bCs/>
        </w:rPr>
        <w:t xml:space="preserve">DEVELOP POLICIES, PROCEDURES AND CARE PROVISIONS THAT ARE INTERSECTIONAL </w:t>
      </w:r>
    </w:p>
    <w:p w14:paraId="30B4EE83" w14:textId="5A744164" w:rsidR="00313221" w:rsidRPr="00A33E8D" w:rsidRDefault="002E5BBB" w:rsidP="00313221">
      <w:pPr>
        <w:spacing w:after="0"/>
        <w:rPr>
          <w:rFonts w:ascii="Avenir Next LT Pro" w:hAnsi="Avenir Next LT Pro"/>
        </w:rPr>
      </w:pPr>
      <w:r>
        <w:rPr>
          <w:rFonts w:ascii="Avenir Next LT Pro" w:hAnsi="Avenir Next LT Pro"/>
        </w:rPr>
        <w:t>Healthcare product and service providers</w:t>
      </w:r>
      <w:r w:rsidR="00313221" w:rsidRPr="00A33E8D">
        <w:rPr>
          <w:rFonts w:ascii="Avenir Next LT Pro" w:hAnsi="Avenir Next LT Pro"/>
        </w:rPr>
        <w:t xml:space="preserve"> should have knowledge and comprehension of Intersectionality as </w:t>
      </w:r>
      <w:r w:rsidR="00480ED5">
        <w:rPr>
          <w:rFonts w:ascii="Avenir Next LT Pro" w:hAnsi="Avenir Next LT Pro"/>
        </w:rPr>
        <w:t>intention</w:t>
      </w:r>
      <w:r w:rsidR="00313221" w:rsidRPr="00A33E8D">
        <w:rPr>
          <w:rFonts w:ascii="Avenir Next LT Pro" w:hAnsi="Avenir Next LT Pro"/>
        </w:rPr>
        <w:t xml:space="preserve">, methodology and practice. This includes knowledge and comprehension of </w:t>
      </w:r>
      <w:r w:rsidR="003A78AB">
        <w:rPr>
          <w:rFonts w:ascii="Avenir Next LT Pro" w:hAnsi="Avenir Next LT Pro"/>
        </w:rPr>
        <w:t>LGBTQ+</w:t>
      </w:r>
      <w:r w:rsidR="00313221" w:rsidRPr="00A33E8D">
        <w:rPr>
          <w:rFonts w:ascii="Avenir Next LT Pro" w:hAnsi="Avenir Next LT Pro"/>
        </w:rPr>
        <w:t xml:space="preserve"> identities as intersectional and how identities based on race, ethnicity, age, ability, social class, national origin, and religion can intersect with a patient’s </w:t>
      </w:r>
      <w:r w:rsidR="003A78AB">
        <w:rPr>
          <w:rFonts w:ascii="Avenir Next LT Pro" w:hAnsi="Avenir Next LT Pro"/>
        </w:rPr>
        <w:t>LGBTQ+</w:t>
      </w:r>
      <w:r w:rsidR="00313221" w:rsidRPr="00A33E8D">
        <w:rPr>
          <w:rFonts w:ascii="Avenir Next LT Pro" w:hAnsi="Avenir Next LT Pro"/>
        </w:rPr>
        <w:t xml:space="preserve"> identity to influence their care needs and treatment plans. </w:t>
      </w:r>
      <w:r>
        <w:rPr>
          <w:rFonts w:ascii="Avenir Next LT Pro" w:hAnsi="Avenir Next LT Pro"/>
        </w:rPr>
        <w:t>Healthcare product and service providers</w:t>
      </w:r>
      <w:r w:rsidR="00313221" w:rsidRPr="00A33E8D">
        <w:rPr>
          <w:rFonts w:ascii="Avenir Next LT Pro" w:hAnsi="Avenir Next LT Pro"/>
        </w:rPr>
        <w:t xml:space="preserve"> should have the ability to use knowledge to create policies and procedures that can support multiple identities and communities simultaneously.</w:t>
      </w:r>
    </w:p>
    <w:p w14:paraId="282ED3FC" w14:textId="77777777" w:rsidR="00313221" w:rsidRPr="00A33E8D" w:rsidRDefault="00313221" w:rsidP="00313221">
      <w:pPr>
        <w:spacing w:after="0"/>
        <w:rPr>
          <w:rFonts w:ascii="Avenir Next LT Pro" w:hAnsi="Avenir Next LT Pro"/>
        </w:rPr>
      </w:pPr>
    </w:p>
    <w:p w14:paraId="4BFDB827" w14:textId="696D1808" w:rsidR="00DD2261" w:rsidRPr="00DD2261" w:rsidRDefault="00313221" w:rsidP="00DD2261">
      <w:pPr>
        <w:spacing w:after="0"/>
        <w:rPr>
          <w:rFonts w:ascii="Avenir Next LT Pro" w:hAnsi="Avenir Next LT Pro"/>
          <w:b/>
          <w:bCs/>
        </w:rPr>
      </w:pPr>
      <w:r w:rsidRPr="00DD2261">
        <w:rPr>
          <w:rFonts w:ascii="Avenir Next LT Pro" w:hAnsi="Avenir Next LT Pro"/>
          <w:b/>
          <w:bCs/>
        </w:rPr>
        <w:t xml:space="preserve">IMPLEMENT AN EQUITABLE AND INCLUSIVE </w:t>
      </w:r>
      <w:r w:rsidR="003A78AB">
        <w:rPr>
          <w:rFonts w:ascii="Avenir Next LT Pro" w:hAnsi="Avenir Next LT Pro"/>
          <w:b/>
          <w:bCs/>
        </w:rPr>
        <w:t>LGBTQ+</w:t>
      </w:r>
      <w:r w:rsidRPr="00DD2261">
        <w:rPr>
          <w:rFonts w:ascii="Avenir Next LT Pro" w:hAnsi="Avenir Next LT Pro"/>
          <w:b/>
          <w:bCs/>
        </w:rPr>
        <w:t xml:space="preserve"> </w:t>
      </w:r>
      <w:r w:rsidR="009E3DDD">
        <w:rPr>
          <w:rFonts w:ascii="Avenir Next LT Pro" w:hAnsi="Avenir Next LT Pro"/>
          <w:b/>
          <w:bCs/>
        </w:rPr>
        <w:t>CLIENT</w:t>
      </w:r>
      <w:r w:rsidRPr="00DD2261">
        <w:rPr>
          <w:rFonts w:ascii="Avenir Next LT Pro" w:hAnsi="Avenir Next LT Pro"/>
          <w:b/>
          <w:bCs/>
        </w:rPr>
        <w:t xml:space="preserve"> EXPERIENCE </w:t>
      </w:r>
    </w:p>
    <w:p w14:paraId="2C97F172" w14:textId="7D8B55F4" w:rsidR="001D391C" w:rsidRDefault="002E5BBB">
      <w:pPr>
        <w:rPr>
          <w:rFonts w:ascii="Avenir Next LT Pro" w:hAnsi="Avenir Next LT Pro"/>
          <w:color w:val="00A9F4"/>
          <w:sz w:val="44"/>
          <w:szCs w:val="44"/>
        </w:rPr>
      </w:pPr>
      <w:r>
        <w:rPr>
          <w:rFonts w:ascii="Avenir Next LT Pro" w:hAnsi="Avenir Next LT Pro"/>
        </w:rPr>
        <w:t>Healthcare product and service providers</w:t>
      </w:r>
      <w:r w:rsidR="00313221" w:rsidRPr="00A33E8D">
        <w:rPr>
          <w:rFonts w:ascii="Avenir Next LT Pro" w:hAnsi="Avenir Next LT Pro"/>
        </w:rPr>
        <w:t xml:space="preserve"> should have knowledge and comprehension of how to</w:t>
      </w:r>
      <w:r w:rsidR="003F433C">
        <w:rPr>
          <w:rFonts w:ascii="Avenir Next LT Pro" w:hAnsi="Avenir Next LT Pro"/>
        </w:rPr>
        <w:t xml:space="preserve"> work in a </w:t>
      </w:r>
      <w:r w:rsidR="00313221" w:rsidRPr="00A33E8D">
        <w:rPr>
          <w:rFonts w:ascii="Avenir Next LT Pro" w:hAnsi="Avenir Next LT Pro"/>
        </w:rPr>
        <w:t xml:space="preserve">culturally responsive manner with </w:t>
      </w:r>
      <w:r w:rsidR="003A78AB">
        <w:rPr>
          <w:rFonts w:ascii="Avenir Next LT Pro" w:hAnsi="Avenir Next LT Pro"/>
        </w:rPr>
        <w:t>LGBTQ+</w:t>
      </w:r>
      <w:r w:rsidR="00313221" w:rsidRPr="00A33E8D">
        <w:rPr>
          <w:rFonts w:ascii="Avenir Next LT Pro" w:hAnsi="Avenir Next LT Pro"/>
        </w:rPr>
        <w:t xml:space="preserve"> communities. This </w:t>
      </w:r>
      <w:r w:rsidR="00313221" w:rsidRPr="00510392">
        <w:rPr>
          <w:rFonts w:ascii="Avenir Next LT Pro" w:hAnsi="Avenir Next LT Pro"/>
        </w:rPr>
        <w:t>include</w:t>
      </w:r>
      <w:r w:rsidR="00DD2261">
        <w:rPr>
          <w:rFonts w:ascii="Avenir Next LT Pro" w:hAnsi="Avenir Next LT Pro"/>
        </w:rPr>
        <w:t>s</w:t>
      </w:r>
      <w:r w:rsidR="00313221" w:rsidRPr="00510392">
        <w:rPr>
          <w:rFonts w:ascii="Avenir Next LT Pro" w:hAnsi="Avenir Next LT Pro"/>
        </w:rPr>
        <w:t xml:space="preserve"> knowledge and comprehension of how Electronic Health Records and Client Management Systems do and do not contribute to equitable and inclusive </w:t>
      </w:r>
      <w:r w:rsidR="003F433C">
        <w:rPr>
          <w:rFonts w:ascii="Avenir Next LT Pro" w:hAnsi="Avenir Next LT Pro"/>
        </w:rPr>
        <w:t>client</w:t>
      </w:r>
      <w:r w:rsidR="00313221" w:rsidRPr="00510392">
        <w:rPr>
          <w:rFonts w:ascii="Avenir Next LT Pro" w:hAnsi="Avenir Next LT Pro"/>
        </w:rPr>
        <w:t xml:space="preserve"> experiences. </w:t>
      </w:r>
      <w:r w:rsidR="00510392" w:rsidRPr="00510392">
        <w:rPr>
          <w:rFonts w:ascii="Avenir Next LT Pro" w:hAnsi="Avenir Next LT Pro"/>
        </w:rPr>
        <w:t xml:space="preserve">There should be the ability to collect evaluation </w:t>
      </w:r>
      <w:r w:rsidR="00751581">
        <w:rPr>
          <w:rFonts w:ascii="Avenir Next LT Pro" w:hAnsi="Avenir Next LT Pro"/>
        </w:rPr>
        <w:t xml:space="preserve">and </w:t>
      </w:r>
      <w:r w:rsidR="00510392" w:rsidRPr="00510392">
        <w:rPr>
          <w:rFonts w:ascii="Avenir Next LT Pro" w:hAnsi="Avenir Next LT Pro"/>
        </w:rPr>
        <w:t xml:space="preserve">feedback data from </w:t>
      </w:r>
      <w:r w:rsidR="003A78AB">
        <w:rPr>
          <w:rFonts w:ascii="Avenir Next LT Pro" w:hAnsi="Avenir Next LT Pro"/>
        </w:rPr>
        <w:t>LGBTQ+</w:t>
      </w:r>
      <w:r w:rsidR="00510392" w:rsidRPr="00510392">
        <w:rPr>
          <w:rFonts w:ascii="Avenir Next LT Pro" w:hAnsi="Avenir Next LT Pro"/>
        </w:rPr>
        <w:t xml:space="preserve"> communities to improve </w:t>
      </w:r>
      <w:r w:rsidR="00F36590">
        <w:rPr>
          <w:rFonts w:ascii="Avenir Next LT Pro" w:hAnsi="Avenir Next LT Pro"/>
        </w:rPr>
        <w:t>client</w:t>
      </w:r>
      <w:r w:rsidR="00510392" w:rsidRPr="00510392">
        <w:rPr>
          <w:rFonts w:ascii="Avenir Next LT Pro" w:hAnsi="Avenir Next LT Pro"/>
        </w:rPr>
        <w:t xml:space="preserve"> care.</w:t>
      </w:r>
    </w:p>
    <w:p w14:paraId="4DEAD359" w14:textId="1312BE40" w:rsidR="001D391C" w:rsidRDefault="001D391C" w:rsidP="001D391C">
      <w:pPr>
        <w:rPr>
          <w:rFonts w:ascii="Avenir Next LT Pro" w:hAnsi="Avenir Next LT Pro"/>
          <w:color w:val="00A9F4"/>
          <w:sz w:val="44"/>
          <w:szCs w:val="44"/>
        </w:rPr>
      </w:pPr>
      <w:r w:rsidRPr="00A66CE0">
        <w:rPr>
          <w:rFonts w:ascii="Avenir Next LT Pro" w:hAnsi="Avenir Next LT Pro"/>
          <w:color w:val="00A9F4"/>
          <w:sz w:val="44"/>
          <w:szCs w:val="44"/>
        </w:rPr>
        <w:lastRenderedPageBreak/>
        <w:t xml:space="preserve">Our </w:t>
      </w:r>
      <w:r>
        <w:rPr>
          <w:rFonts w:ascii="Avenir Next LT Pro" w:hAnsi="Avenir Next LT Pro"/>
          <w:color w:val="00A9F4"/>
          <w:sz w:val="44"/>
          <w:szCs w:val="44"/>
        </w:rPr>
        <w:t>Proposed Project Plan</w:t>
      </w:r>
      <w:r w:rsidR="00BD05FE">
        <w:rPr>
          <w:rFonts w:ascii="Avenir Next LT Pro" w:hAnsi="Avenir Next LT Pro"/>
          <w:color w:val="00A9F4"/>
          <w:sz w:val="44"/>
          <w:szCs w:val="44"/>
        </w:rPr>
        <w:t xml:space="preserve"> Process </w:t>
      </w:r>
    </w:p>
    <w:p w14:paraId="44BAD393" w14:textId="4AB2D10D" w:rsidR="001D391C" w:rsidRPr="009353A9" w:rsidRDefault="001D391C" w:rsidP="001D391C">
      <w:pPr>
        <w:rPr>
          <w:rFonts w:ascii="Avenir Next LT Pro" w:hAnsi="Avenir Next LT Pro"/>
          <w:sz w:val="36"/>
          <w:szCs w:val="36"/>
        </w:rPr>
      </w:pPr>
      <w:r>
        <w:rPr>
          <w:rFonts w:ascii="Avenir Next LT Pro" w:hAnsi="Avenir Next LT Pro"/>
          <w:sz w:val="36"/>
          <w:szCs w:val="36"/>
        </w:rPr>
        <w:t>Phase 1</w:t>
      </w:r>
      <w:r w:rsidR="00C24BD3">
        <w:rPr>
          <w:rFonts w:ascii="Avenir Next LT Pro" w:hAnsi="Avenir Next LT Pro"/>
          <w:sz w:val="36"/>
          <w:szCs w:val="36"/>
        </w:rPr>
        <w:t>: Research</w:t>
      </w:r>
      <w:r w:rsidR="00EB317A">
        <w:rPr>
          <w:rFonts w:ascii="Avenir Next LT Pro" w:hAnsi="Avenir Next LT Pro"/>
          <w:sz w:val="36"/>
          <w:szCs w:val="36"/>
        </w:rPr>
        <w:t xml:space="preserve"> and Discovery</w:t>
      </w:r>
      <w:r w:rsidR="00424ED4">
        <w:rPr>
          <w:rFonts w:ascii="Avenir Next LT Pro" w:hAnsi="Avenir Next LT Pro"/>
          <w:sz w:val="36"/>
          <w:szCs w:val="36"/>
        </w:rPr>
        <w:t xml:space="preserve"> </w:t>
      </w:r>
    </w:p>
    <w:p w14:paraId="4E538ADD" w14:textId="2066B2B5" w:rsidR="001D391C" w:rsidRDefault="00424ED4" w:rsidP="001D391C">
      <w:pPr>
        <w:rPr>
          <w:rFonts w:ascii="Avenir Next LT Pro" w:hAnsi="Avenir Next LT Pro"/>
        </w:rPr>
      </w:pPr>
      <w:r>
        <w:rPr>
          <w:rFonts w:ascii="Avenir Next LT Pro" w:hAnsi="Avenir Next LT Pro"/>
        </w:rPr>
        <w:t xml:space="preserve">Our staff will do initial research on </w:t>
      </w:r>
      <w:r w:rsidR="008F36AD">
        <w:rPr>
          <w:rFonts w:ascii="Avenir Next LT Pro" w:hAnsi="Avenir Next LT Pro"/>
        </w:rPr>
        <w:t xml:space="preserve">United Healthcare </w:t>
      </w:r>
      <w:r>
        <w:rPr>
          <w:rFonts w:ascii="Avenir Next LT Pro" w:hAnsi="Avenir Next LT Pro"/>
        </w:rPr>
        <w:t xml:space="preserve">by assessing websites, marketing, and any publicly available information. We will tailor our assessment tools based off our Phase 1 findings (to be utilized in Phase 2) to customize our plan for assessing </w:t>
      </w:r>
      <w:r w:rsidR="003A78AB">
        <w:rPr>
          <w:rFonts w:ascii="Avenir Next LT Pro" w:hAnsi="Avenir Next LT Pro"/>
        </w:rPr>
        <w:t>LGBTQ+</w:t>
      </w:r>
      <w:r>
        <w:rPr>
          <w:rFonts w:ascii="Avenir Next LT Pro" w:hAnsi="Avenir Next LT Pro"/>
        </w:rPr>
        <w:t xml:space="preserve"> inclusivity. </w:t>
      </w:r>
    </w:p>
    <w:p w14:paraId="3DD686E4" w14:textId="6A01BDAE" w:rsidR="00C24BD3" w:rsidRDefault="00C24BD3" w:rsidP="001D391C">
      <w:pPr>
        <w:rPr>
          <w:rFonts w:ascii="Avenir Next LT Pro" w:hAnsi="Avenir Next LT Pro"/>
        </w:rPr>
      </w:pPr>
    </w:p>
    <w:p w14:paraId="4915E210" w14:textId="748A3EFB" w:rsidR="00C24BD3" w:rsidRPr="00FB4A01" w:rsidRDefault="00C24BD3" w:rsidP="00C24BD3">
      <w:pPr>
        <w:rPr>
          <w:rFonts w:ascii="Avenir Next LT Pro" w:hAnsi="Avenir Next LT Pro"/>
          <w:sz w:val="36"/>
          <w:szCs w:val="36"/>
        </w:rPr>
      </w:pPr>
      <w:r w:rsidRPr="00FB4A01">
        <w:rPr>
          <w:rFonts w:ascii="Avenir Next LT Pro" w:hAnsi="Avenir Next LT Pro"/>
          <w:sz w:val="36"/>
          <w:szCs w:val="36"/>
        </w:rPr>
        <w:t>Phase 2: Assess</w:t>
      </w:r>
      <w:r w:rsidR="00784591" w:rsidRPr="00FB4A01">
        <w:rPr>
          <w:rFonts w:ascii="Avenir Next LT Pro" w:hAnsi="Avenir Next LT Pro"/>
          <w:sz w:val="36"/>
          <w:szCs w:val="36"/>
        </w:rPr>
        <w:t>ment</w:t>
      </w:r>
    </w:p>
    <w:p w14:paraId="678E5EBF" w14:textId="50E2C8CD" w:rsidR="00C24BD3" w:rsidRDefault="00FB4A01" w:rsidP="00B47E15">
      <w:pPr>
        <w:pStyle w:val="Instructions"/>
        <w:spacing w:after="0"/>
        <w:ind w:left="0"/>
        <w:rPr>
          <w:rFonts w:ascii="Avenir Next LT Pro" w:hAnsi="Avenir Next LT Pro"/>
          <w:color w:val="auto"/>
        </w:rPr>
      </w:pPr>
      <w:r>
        <w:rPr>
          <w:rFonts w:ascii="Avenir Next LT Pro" w:hAnsi="Avenir Next LT Pro"/>
          <w:color w:val="auto"/>
        </w:rPr>
        <w:t xml:space="preserve">We will </w:t>
      </w:r>
      <w:r w:rsidRPr="00FB4A01">
        <w:rPr>
          <w:rFonts w:ascii="Avenir Next LT Pro" w:hAnsi="Avenir Next LT Pro"/>
          <w:color w:val="auto"/>
        </w:rPr>
        <w:t xml:space="preserve">collect information on the current practices </w:t>
      </w:r>
      <w:r w:rsidR="00280A39">
        <w:rPr>
          <w:rFonts w:ascii="Avenir Next LT Pro" w:hAnsi="Avenir Next LT Pro"/>
          <w:color w:val="auto"/>
        </w:rPr>
        <w:t>and</w:t>
      </w:r>
      <w:r w:rsidRPr="00FB4A01">
        <w:rPr>
          <w:rFonts w:ascii="Avenir Next LT Pro" w:hAnsi="Avenir Next LT Pro"/>
          <w:color w:val="auto"/>
        </w:rPr>
        <w:t xml:space="preserve"> policies within </w:t>
      </w:r>
      <w:r w:rsidR="0058221E">
        <w:rPr>
          <w:rFonts w:ascii="Avenir Next LT Pro" w:hAnsi="Avenir Next LT Pro"/>
          <w:color w:val="auto"/>
        </w:rPr>
        <w:t>United Healthcare</w:t>
      </w:r>
      <w:r w:rsidRPr="00FB4A01">
        <w:rPr>
          <w:rFonts w:ascii="Avenir Next LT Pro" w:hAnsi="Avenir Next LT Pro"/>
          <w:color w:val="auto"/>
        </w:rPr>
        <w:t xml:space="preserve"> to assess </w:t>
      </w:r>
      <w:r w:rsidR="003A78AB">
        <w:rPr>
          <w:rFonts w:ascii="Avenir Next LT Pro" w:hAnsi="Avenir Next LT Pro"/>
          <w:color w:val="auto"/>
        </w:rPr>
        <w:t>LGBTQ+</w:t>
      </w:r>
      <w:r w:rsidRPr="00FB4A01">
        <w:rPr>
          <w:rFonts w:ascii="Avenir Next LT Pro" w:hAnsi="Avenir Next LT Pro"/>
          <w:color w:val="auto"/>
        </w:rPr>
        <w:t xml:space="preserve"> inclusion. A few of the things we look at </w:t>
      </w:r>
      <w:proofErr w:type="gramStart"/>
      <w:r w:rsidRPr="00FB4A01">
        <w:rPr>
          <w:rFonts w:ascii="Avenir Next LT Pro" w:hAnsi="Avenir Next LT Pro"/>
          <w:color w:val="auto"/>
        </w:rPr>
        <w:t>are</w:t>
      </w:r>
      <w:r w:rsidR="00751581">
        <w:rPr>
          <w:rFonts w:ascii="Avenir Next LT Pro" w:hAnsi="Avenir Next LT Pro"/>
          <w:color w:val="auto"/>
        </w:rPr>
        <w:t>:</w:t>
      </w:r>
      <w:proofErr w:type="gramEnd"/>
      <w:r w:rsidRPr="00FB4A01">
        <w:rPr>
          <w:rFonts w:ascii="Avenir Next LT Pro" w:hAnsi="Avenir Next LT Pro"/>
          <w:color w:val="auto"/>
        </w:rPr>
        <w:t xml:space="preserve"> the physical space, </w:t>
      </w:r>
      <w:r w:rsidR="0058221E">
        <w:rPr>
          <w:rFonts w:ascii="Avenir Next LT Pro" w:hAnsi="Avenir Next LT Pro"/>
          <w:color w:val="auto"/>
        </w:rPr>
        <w:t>client processes</w:t>
      </w:r>
      <w:r w:rsidRPr="00FB4A01">
        <w:rPr>
          <w:rFonts w:ascii="Avenir Next LT Pro" w:hAnsi="Avenir Next LT Pro"/>
          <w:color w:val="auto"/>
        </w:rPr>
        <w:t>, information management, staff training</w:t>
      </w:r>
      <w:r w:rsidR="00751581">
        <w:rPr>
          <w:rFonts w:ascii="Avenir Next LT Pro" w:hAnsi="Avenir Next LT Pro"/>
          <w:color w:val="auto"/>
        </w:rPr>
        <w:t>,</w:t>
      </w:r>
      <w:r w:rsidRPr="00FB4A01">
        <w:rPr>
          <w:rFonts w:ascii="Avenir Next LT Pro" w:hAnsi="Avenir Next LT Pro"/>
          <w:color w:val="auto"/>
        </w:rPr>
        <w:t xml:space="preserve"> </w:t>
      </w:r>
      <w:r w:rsidR="00CF3D2E">
        <w:rPr>
          <w:rFonts w:ascii="Avenir Next LT Pro" w:hAnsi="Avenir Next LT Pro"/>
          <w:color w:val="auto"/>
        </w:rPr>
        <w:t xml:space="preserve">an assessment of current staff comfort and competency, </w:t>
      </w:r>
      <w:r w:rsidR="00751581">
        <w:rPr>
          <w:rFonts w:ascii="Avenir Next LT Pro" w:hAnsi="Avenir Next LT Pro"/>
          <w:color w:val="auto"/>
        </w:rPr>
        <w:t xml:space="preserve">program development, </w:t>
      </w:r>
      <w:r w:rsidRPr="00FB4A01">
        <w:rPr>
          <w:rFonts w:ascii="Avenir Next LT Pro" w:hAnsi="Avenir Next LT Pro"/>
          <w:color w:val="auto"/>
        </w:rPr>
        <w:t>and policy language.</w:t>
      </w:r>
    </w:p>
    <w:p w14:paraId="408BF945" w14:textId="274D13CD" w:rsidR="00A45C88" w:rsidRPr="00FB4A01" w:rsidRDefault="00A45C88" w:rsidP="00B47E15">
      <w:pPr>
        <w:pStyle w:val="Instructions"/>
        <w:spacing w:after="0"/>
        <w:ind w:left="0"/>
        <w:rPr>
          <w:rFonts w:ascii="Avenir Next LT Pro" w:hAnsi="Avenir Next LT Pro"/>
          <w:color w:val="auto"/>
        </w:rPr>
      </w:pPr>
      <w:r w:rsidRPr="00FB4A01">
        <w:rPr>
          <w:rFonts w:ascii="Avenir Next LT Pro" w:hAnsi="Avenir Next LT Pro"/>
          <w:color w:val="auto"/>
        </w:rPr>
        <w:t xml:space="preserve">Each organization is unique in its structure and mission, therefore the specifics on how inclusion should be achieved is up to the organization to decide using our recommendations as a foundation for change. </w:t>
      </w:r>
      <w:r w:rsidR="00535E7E">
        <w:rPr>
          <w:rFonts w:ascii="Avenir Next LT Pro" w:hAnsi="Avenir Next LT Pro"/>
          <w:color w:val="auto"/>
        </w:rPr>
        <w:t>The Rainbow Health team will</w:t>
      </w:r>
      <w:r w:rsidRPr="00FB4A01">
        <w:rPr>
          <w:rFonts w:ascii="Avenir Next LT Pro" w:hAnsi="Avenir Next LT Pro"/>
          <w:color w:val="auto"/>
        </w:rPr>
        <w:t xml:space="preserve"> </w:t>
      </w:r>
      <w:r w:rsidR="00751581">
        <w:rPr>
          <w:rFonts w:ascii="Avenir Next LT Pro" w:hAnsi="Avenir Next LT Pro"/>
          <w:color w:val="auto"/>
        </w:rPr>
        <w:t>help</w:t>
      </w:r>
      <w:r w:rsidRPr="00FB4A01">
        <w:rPr>
          <w:rFonts w:ascii="Avenir Next LT Pro" w:hAnsi="Avenir Next LT Pro"/>
          <w:color w:val="auto"/>
        </w:rPr>
        <w:t xml:space="preserve"> to find out why people have chosen to do things the way they do and what other options have been considered. We aim to transition from achieving excellence to excellence becoming a standard practice.</w:t>
      </w:r>
    </w:p>
    <w:p w14:paraId="3C9FA2C2" w14:textId="77777777" w:rsidR="00BF1058" w:rsidRPr="00FB4A01" w:rsidRDefault="00BF1058" w:rsidP="00C24BD3">
      <w:pPr>
        <w:rPr>
          <w:rFonts w:ascii="Avenir Next LT Pro" w:hAnsi="Avenir Next LT Pro"/>
        </w:rPr>
      </w:pPr>
    </w:p>
    <w:p w14:paraId="57A75E3F" w14:textId="29E482AD" w:rsidR="00C24BD3" w:rsidRPr="00FB4A01" w:rsidRDefault="00C24BD3" w:rsidP="00C24BD3">
      <w:pPr>
        <w:rPr>
          <w:rFonts w:ascii="Avenir Next LT Pro" w:hAnsi="Avenir Next LT Pro"/>
          <w:sz w:val="36"/>
          <w:szCs w:val="36"/>
        </w:rPr>
      </w:pPr>
      <w:r w:rsidRPr="00FB4A01">
        <w:rPr>
          <w:rFonts w:ascii="Avenir Next LT Pro" w:hAnsi="Avenir Next LT Pro"/>
          <w:sz w:val="36"/>
          <w:szCs w:val="36"/>
        </w:rPr>
        <w:t>Phase 3</w:t>
      </w:r>
      <w:r w:rsidR="00784591" w:rsidRPr="00FB4A01">
        <w:rPr>
          <w:rFonts w:ascii="Avenir Next LT Pro" w:hAnsi="Avenir Next LT Pro"/>
          <w:sz w:val="36"/>
          <w:szCs w:val="36"/>
        </w:rPr>
        <w:t>: Training and Technical Guidance</w:t>
      </w:r>
    </w:p>
    <w:p w14:paraId="4AD7840F" w14:textId="4BA78BD2" w:rsidR="00C24BD3" w:rsidRDefault="009B038A" w:rsidP="00C24BD3">
      <w:pPr>
        <w:rPr>
          <w:rFonts w:ascii="Avenir Next LT Pro" w:hAnsi="Avenir Next LT Pro"/>
        </w:rPr>
      </w:pPr>
      <w:r>
        <w:rPr>
          <w:rFonts w:ascii="Avenir Next LT Pro" w:hAnsi="Avenir Next LT Pro"/>
        </w:rPr>
        <w:t xml:space="preserve">Utilizing information gathered in Phase 1 and 2, our team of expert trainers will create tailored curriculums for the identified areas of improvement. Likely, a training will be created to support </w:t>
      </w:r>
      <w:r w:rsidR="00994404">
        <w:rPr>
          <w:rFonts w:ascii="Avenir Next LT Pro" w:hAnsi="Avenir Next LT Pro"/>
        </w:rPr>
        <w:t>staff in different areas of the organization</w:t>
      </w:r>
      <w:r>
        <w:rPr>
          <w:rFonts w:ascii="Avenir Next LT Pro" w:hAnsi="Avenir Next LT Pro"/>
        </w:rPr>
        <w:t xml:space="preserve">, and then a general competency training for all other personnel (including janitorial, front desk, accounting, etc.). </w:t>
      </w:r>
    </w:p>
    <w:p w14:paraId="1EBD02C3" w14:textId="307FEF9F" w:rsidR="00BF1058" w:rsidRDefault="009B038A" w:rsidP="00C24BD3">
      <w:pPr>
        <w:rPr>
          <w:rFonts w:ascii="Avenir Next LT Pro" w:hAnsi="Avenir Next LT Pro"/>
        </w:rPr>
      </w:pPr>
      <w:r>
        <w:rPr>
          <w:rFonts w:ascii="Avenir Next LT Pro" w:hAnsi="Avenir Next LT Pro"/>
        </w:rPr>
        <w:t xml:space="preserve">The Phase 1 and 2 findings will inform the technical guidance needs, which may include (but not be limited to) policy updates, intake process changes, and suggestions for the physical environment. </w:t>
      </w:r>
    </w:p>
    <w:p w14:paraId="37188446" w14:textId="77777777" w:rsidR="005B627E" w:rsidRPr="005B627E" w:rsidRDefault="005B627E" w:rsidP="00C24BD3">
      <w:pPr>
        <w:rPr>
          <w:rFonts w:ascii="Avenir Next LT Pro" w:hAnsi="Avenir Next LT Pro"/>
        </w:rPr>
      </w:pPr>
    </w:p>
    <w:p w14:paraId="48F1FFE0" w14:textId="39852505" w:rsidR="00C24BD3" w:rsidRPr="009353A9" w:rsidRDefault="00C24BD3" w:rsidP="00C24BD3">
      <w:pPr>
        <w:rPr>
          <w:rFonts w:ascii="Avenir Next LT Pro" w:hAnsi="Avenir Next LT Pro"/>
          <w:sz w:val="36"/>
          <w:szCs w:val="36"/>
        </w:rPr>
      </w:pPr>
      <w:r>
        <w:rPr>
          <w:rFonts w:ascii="Avenir Next LT Pro" w:hAnsi="Avenir Next LT Pro"/>
          <w:sz w:val="36"/>
          <w:szCs w:val="36"/>
        </w:rPr>
        <w:t>Phase 4</w:t>
      </w:r>
      <w:r w:rsidR="00784591">
        <w:rPr>
          <w:rFonts w:ascii="Avenir Next LT Pro" w:hAnsi="Avenir Next LT Pro"/>
          <w:sz w:val="36"/>
          <w:szCs w:val="36"/>
        </w:rPr>
        <w:t xml:space="preserve">: </w:t>
      </w:r>
      <w:r w:rsidR="00BF1058">
        <w:rPr>
          <w:rFonts w:ascii="Avenir Next LT Pro" w:hAnsi="Avenir Next LT Pro"/>
          <w:sz w:val="36"/>
          <w:szCs w:val="36"/>
        </w:rPr>
        <w:t>Follow-up and Ongoing Support</w:t>
      </w:r>
    </w:p>
    <w:p w14:paraId="06F218B5" w14:textId="4EC6E59F" w:rsidR="00C24BD3" w:rsidRDefault="009B038A" w:rsidP="00C24BD3">
      <w:pPr>
        <w:rPr>
          <w:rFonts w:ascii="Avenir Next LT Pro" w:hAnsi="Avenir Next LT Pro"/>
          <w:color w:val="00A9F4"/>
          <w:sz w:val="44"/>
          <w:szCs w:val="44"/>
        </w:rPr>
      </w:pPr>
      <w:r>
        <w:rPr>
          <w:rFonts w:ascii="Avenir Next LT Pro" w:hAnsi="Avenir Next LT Pro"/>
        </w:rPr>
        <w:t xml:space="preserve">Supporting </w:t>
      </w:r>
      <w:r w:rsidR="003A78AB">
        <w:rPr>
          <w:rFonts w:ascii="Avenir Next LT Pro" w:hAnsi="Avenir Next LT Pro"/>
        </w:rPr>
        <w:t>LGBTQ+</w:t>
      </w:r>
      <w:r>
        <w:rPr>
          <w:rFonts w:ascii="Avenir Next LT Pro" w:hAnsi="Avenir Next LT Pro"/>
        </w:rPr>
        <w:t xml:space="preserve"> clients and becoming a welcoming space is an ongoing project. Some of our recommendations may include annual trainings, new staff trainings, and consultations for specific events. We plan to include surveys to re-evaluate staff comfort and competency, </w:t>
      </w:r>
      <w:r w:rsidR="00CF3D2E">
        <w:rPr>
          <w:rFonts w:ascii="Avenir Next LT Pro" w:hAnsi="Avenir Next LT Pro"/>
        </w:rPr>
        <w:t xml:space="preserve">evaluate changes made in response to our findings, and be a source of ongoing support. </w:t>
      </w:r>
    </w:p>
    <w:p w14:paraId="64B6E621" w14:textId="77777777" w:rsidR="00C24BD3" w:rsidRDefault="00C24BD3" w:rsidP="00C24BD3">
      <w:pPr>
        <w:rPr>
          <w:rFonts w:ascii="Avenir Next LT Pro" w:hAnsi="Avenir Next LT Pro"/>
          <w:color w:val="00A9F4"/>
          <w:sz w:val="44"/>
          <w:szCs w:val="44"/>
        </w:rPr>
      </w:pPr>
    </w:p>
    <w:p w14:paraId="5FD6A8C8" w14:textId="77777777" w:rsidR="00C24BD3" w:rsidRDefault="00C24BD3" w:rsidP="001D391C">
      <w:pPr>
        <w:rPr>
          <w:rFonts w:ascii="Avenir Next LT Pro" w:hAnsi="Avenir Next LT Pro"/>
          <w:color w:val="00A9F4"/>
          <w:sz w:val="44"/>
          <w:szCs w:val="44"/>
        </w:rPr>
      </w:pPr>
    </w:p>
    <w:p w14:paraId="102F4532" w14:textId="1D5D93A8" w:rsidR="00424ED4" w:rsidRDefault="00424ED4">
      <w:pPr>
        <w:rPr>
          <w:rFonts w:ascii="Avenir Next LT Pro" w:hAnsi="Avenir Next LT Pro"/>
          <w:color w:val="00A9F4"/>
          <w:sz w:val="44"/>
          <w:szCs w:val="44"/>
        </w:rPr>
      </w:pPr>
      <w:r>
        <w:rPr>
          <w:rFonts w:ascii="Avenir Next LT Pro" w:hAnsi="Avenir Next LT Pro"/>
          <w:color w:val="00A9F4"/>
          <w:sz w:val="44"/>
          <w:szCs w:val="44"/>
        </w:rPr>
        <w:lastRenderedPageBreak/>
        <w:t>Tim</w:t>
      </w:r>
      <w:r w:rsidR="009B038A">
        <w:rPr>
          <w:rFonts w:ascii="Avenir Next LT Pro" w:hAnsi="Avenir Next LT Pro"/>
          <w:color w:val="00A9F4"/>
          <w:sz w:val="44"/>
          <w:szCs w:val="44"/>
        </w:rPr>
        <w:t>eline</w:t>
      </w:r>
      <w:r w:rsidR="009B038A">
        <w:rPr>
          <w:rFonts w:ascii="Avenir Next LT Pro" w:hAnsi="Avenir Next LT Pro"/>
          <w:noProof/>
          <w:color w:val="00A9F4"/>
          <w:sz w:val="44"/>
          <w:szCs w:val="44"/>
        </w:rPr>
        <w:drawing>
          <wp:inline distT="0" distB="0" distL="0" distR="0" wp14:anchorId="5CB0BE62" wp14:editId="2AF8340C">
            <wp:extent cx="6492240" cy="3005455"/>
            <wp:effectExtent l="12700" t="0" r="1016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584CE20" w14:textId="0BBFFA86" w:rsidR="00424ED4" w:rsidRDefault="00424ED4">
      <w:pPr>
        <w:rPr>
          <w:rFonts w:ascii="Avenir Next LT Pro" w:hAnsi="Avenir Next LT Pro"/>
          <w:color w:val="00A9F4"/>
          <w:sz w:val="44"/>
          <w:szCs w:val="44"/>
        </w:rPr>
      </w:pPr>
    </w:p>
    <w:p w14:paraId="329163AF" w14:textId="3535DC5D" w:rsidR="00AE3DB1" w:rsidRDefault="00AE3DB1">
      <w:pPr>
        <w:rPr>
          <w:rFonts w:ascii="Avenir Next LT Pro" w:hAnsi="Avenir Next LT Pro"/>
          <w:color w:val="00A9F4"/>
          <w:sz w:val="44"/>
          <w:szCs w:val="44"/>
        </w:rPr>
      </w:pPr>
      <w:r>
        <w:rPr>
          <w:rFonts w:ascii="Avenir Next LT Pro" w:hAnsi="Avenir Next LT Pro"/>
          <w:color w:val="00A9F4"/>
          <w:sz w:val="44"/>
          <w:szCs w:val="44"/>
        </w:rPr>
        <w:br w:type="page"/>
      </w:r>
    </w:p>
    <w:p w14:paraId="6DCABF4C" w14:textId="6D5009B5" w:rsidR="00AD772D" w:rsidRPr="001D18D2" w:rsidRDefault="00AD772D" w:rsidP="00AD772D">
      <w:pPr>
        <w:rPr>
          <w:rFonts w:ascii="Avenir Next LT Pro" w:hAnsi="Avenir Next LT Pro"/>
          <w:color w:val="00A9F4"/>
          <w:sz w:val="44"/>
          <w:szCs w:val="44"/>
        </w:rPr>
      </w:pPr>
      <w:r w:rsidRPr="001D18D2">
        <w:rPr>
          <w:rFonts w:ascii="Avenir Next LT Pro" w:hAnsi="Avenir Next LT Pro"/>
          <w:color w:val="00A9F4"/>
          <w:sz w:val="44"/>
          <w:szCs w:val="44"/>
        </w:rPr>
        <w:lastRenderedPageBreak/>
        <w:t>Our Team for this Project</w:t>
      </w:r>
    </w:p>
    <w:p w14:paraId="66087704" w14:textId="58B5C68F" w:rsidR="00AD772D" w:rsidRPr="00D50145" w:rsidRDefault="00A10509" w:rsidP="00681456">
      <w:pPr>
        <w:rPr>
          <w:rFonts w:ascii="Avenir Next LT Pro" w:hAnsi="Avenir Next LT Pro"/>
        </w:rPr>
      </w:pPr>
      <w:r w:rsidRPr="002558A7">
        <w:rPr>
          <w:rFonts w:ascii="Avenir Next LT Pro" w:hAnsi="Avenir Next LT Pro"/>
          <w:b/>
          <w:bCs/>
        </w:rPr>
        <w:t>Jeremy Hanson Willis</w:t>
      </w:r>
      <w:r w:rsidR="0007349A">
        <w:rPr>
          <w:rFonts w:ascii="Avenir Next LT Pro" w:hAnsi="Avenir Next LT Pro"/>
          <w:b/>
          <w:bCs/>
        </w:rPr>
        <w:t xml:space="preserve"> </w:t>
      </w:r>
      <w:r w:rsidR="0007349A" w:rsidRPr="00F36A33">
        <w:rPr>
          <w:rFonts w:ascii="Avenir Next LT Pro" w:hAnsi="Avenir Next LT Pro"/>
        </w:rPr>
        <w:t>(he/him)</w:t>
      </w:r>
      <w:r w:rsidRPr="00F36A33">
        <w:rPr>
          <w:rFonts w:ascii="Avenir Next LT Pro" w:hAnsi="Avenir Next LT Pro"/>
        </w:rPr>
        <w:t>,</w:t>
      </w:r>
      <w:r w:rsidRPr="002558A7">
        <w:rPr>
          <w:rFonts w:ascii="Avenir Next LT Pro" w:hAnsi="Avenir Next LT Pro"/>
        </w:rPr>
        <w:t xml:space="preserve"> </w:t>
      </w:r>
      <w:r w:rsidR="00CC0CC7" w:rsidRPr="00CC0CC7">
        <w:rPr>
          <w:rFonts w:ascii="Avenir Next LT Pro" w:hAnsi="Avenir Next LT Pro" w:cs="Arial"/>
          <w:shd w:val="clear" w:color="auto" w:fill="FFFFFF"/>
        </w:rPr>
        <w:t>Chief Executive Officer</w:t>
      </w:r>
      <w:r w:rsidR="000709D7">
        <w:rPr>
          <w:rFonts w:ascii="Avenir Next LT Pro" w:hAnsi="Avenir Next LT Pro" w:cs="Arial"/>
          <w:shd w:val="clear" w:color="auto" w:fill="FFFFFF"/>
        </w:rPr>
        <w:t>,</w:t>
      </w:r>
      <w:r w:rsidR="00CC0CC7" w:rsidRPr="00CC0CC7">
        <w:rPr>
          <w:rFonts w:ascii="Avenir Next LT Pro" w:hAnsi="Avenir Next LT Pro" w:cs="Arial"/>
          <w:shd w:val="clear" w:color="auto" w:fill="FFFFFF"/>
        </w:rPr>
        <w:t xml:space="preserve"> lead</w:t>
      </w:r>
      <w:r w:rsidR="00C71920">
        <w:rPr>
          <w:rFonts w:ascii="Avenir Next LT Pro" w:hAnsi="Avenir Next LT Pro" w:cs="Arial"/>
          <w:shd w:val="clear" w:color="auto" w:fill="FFFFFF"/>
        </w:rPr>
        <w:t>s</w:t>
      </w:r>
      <w:r w:rsidR="00CC0CC7" w:rsidRPr="00CC0CC7">
        <w:rPr>
          <w:rFonts w:ascii="Avenir Next LT Pro" w:hAnsi="Avenir Next LT Pro" w:cs="Arial"/>
          <w:shd w:val="clear" w:color="auto" w:fill="FFFFFF"/>
        </w:rPr>
        <w:t xml:space="preserve"> the agency through the </w:t>
      </w:r>
      <w:r w:rsidR="00CC0CC7" w:rsidRPr="0019421F">
        <w:rPr>
          <w:rFonts w:ascii="Avenir Next LT Pro" w:hAnsi="Avenir Next LT Pro" w:cs="Arial"/>
          <w:shd w:val="clear" w:color="auto" w:fill="FFFFFF"/>
        </w:rPr>
        <w:t xml:space="preserve">development and implementation of a new strategic </w:t>
      </w:r>
      <w:r w:rsidR="002102C9" w:rsidRPr="0019421F">
        <w:rPr>
          <w:rFonts w:ascii="Avenir Next LT Pro" w:hAnsi="Avenir Next LT Pro" w:cs="Arial"/>
          <w:shd w:val="clear" w:color="auto" w:fill="FFFFFF"/>
        </w:rPr>
        <w:t>direction</w:t>
      </w:r>
      <w:r w:rsidR="00CC0CC7" w:rsidRPr="0019421F">
        <w:rPr>
          <w:rFonts w:ascii="Avenir Next LT Pro" w:hAnsi="Avenir Next LT Pro" w:cs="Arial"/>
          <w:shd w:val="clear" w:color="auto" w:fill="FFFFFF"/>
        </w:rPr>
        <w:t xml:space="preserve"> </w:t>
      </w:r>
      <w:r w:rsidR="00C71920">
        <w:rPr>
          <w:rFonts w:ascii="Avenir Next LT Pro" w:hAnsi="Avenir Next LT Pro" w:cs="Arial"/>
          <w:shd w:val="clear" w:color="auto" w:fill="FFFFFF"/>
        </w:rPr>
        <w:t>to</w:t>
      </w:r>
      <w:r w:rsidR="00CC0CC7" w:rsidRPr="0019421F">
        <w:rPr>
          <w:rFonts w:ascii="Avenir Next LT Pro" w:hAnsi="Avenir Next LT Pro" w:cs="Arial"/>
          <w:shd w:val="clear" w:color="auto" w:fill="FFFFFF"/>
        </w:rPr>
        <w:t xml:space="preserve"> advance the agency’s mission</w:t>
      </w:r>
      <w:r w:rsidR="002102C9" w:rsidRPr="0019421F">
        <w:rPr>
          <w:rFonts w:ascii="Avenir Next LT Pro" w:hAnsi="Avenir Next LT Pro" w:cs="Arial"/>
          <w:shd w:val="clear" w:color="auto" w:fill="FFFFFF"/>
        </w:rPr>
        <w:t>.</w:t>
      </w:r>
      <w:r w:rsidR="00D00828" w:rsidRPr="0019421F">
        <w:rPr>
          <w:rFonts w:ascii="Avenir Next LT Pro" w:hAnsi="Avenir Next LT Pro"/>
        </w:rPr>
        <w:t xml:space="preserve"> </w:t>
      </w:r>
      <w:r w:rsidR="0019421F" w:rsidRPr="0019421F">
        <w:rPr>
          <w:rFonts w:ascii="Avenir Next LT Pro" w:hAnsi="Avenir Next LT Pro"/>
        </w:rPr>
        <w:t xml:space="preserve">Prior to </w:t>
      </w:r>
      <w:r w:rsidR="3A6DE293" w:rsidRPr="0019421F">
        <w:rPr>
          <w:rFonts w:ascii="Avenir Next LT Pro" w:hAnsi="Avenir Next LT Pro"/>
        </w:rPr>
        <w:t>Rainbow</w:t>
      </w:r>
      <w:r w:rsidR="0019421F" w:rsidRPr="0019421F">
        <w:rPr>
          <w:rFonts w:ascii="Avenir Next LT Pro" w:hAnsi="Avenir Next LT Pro"/>
        </w:rPr>
        <w:t xml:space="preserve"> Health, </w:t>
      </w:r>
      <w:r w:rsidR="00D00828" w:rsidRPr="0019421F">
        <w:rPr>
          <w:rFonts w:ascii="Avenir Next LT Pro" w:hAnsi="Avenir Next LT Pro" w:cs="Arial"/>
          <w:shd w:val="clear" w:color="auto" w:fill="FFFFFF"/>
        </w:rPr>
        <w:t xml:space="preserve">Jeremy served </w:t>
      </w:r>
      <w:r w:rsidR="00B92B00">
        <w:rPr>
          <w:rFonts w:ascii="Avenir Next LT Pro" w:hAnsi="Avenir Next LT Pro" w:cs="Arial"/>
          <w:shd w:val="clear" w:color="auto" w:fill="FFFFFF"/>
        </w:rPr>
        <w:t xml:space="preserve">for fifteen years </w:t>
      </w:r>
      <w:r w:rsidR="00BA5773">
        <w:rPr>
          <w:rFonts w:ascii="Avenir Next LT Pro" w:hAnsi="Avenir Next LT Pro" w:cs="Arial"/>
          <w:shd w:val="clear" w:color="auto" w:fill="FFFFFF"/>
        </w:rPr>
        <w:t>in several state and local government leadership positions</w:t>
      </w:r>
      <w:r w:rsidR="00CE0891">
        <w:rPr>
          <w:rFonts w:ascii="Avenir Next LT Pro" w:hAnsi="Avenir Next LT Pro" w:cs="Arial"/>
          <w:shd w:val="clear" w:color="auto" w:fill="FFFFFF"/>
        </w:rPr>
        <w:t>, including</w:t>
      </w:r>
      <w:r w:rsidR="0019421F">
        <w:rPr>
          <w:rFonts w:ascii="Avenir Next LT Pro" w:hAnsi="Avenir Next LT Pro" w:cs="Arial"/>
          <w:shd w:val="clear" w:color="auto" w:fill="FFFFFF"/>
        </w:rPr>
        <w:t xml:space="preserve"> </w:t>
      </w:r>
      <w:r w:rsidR="00D00828" w:rsidRPr="0019421F">
        <w:rPr>
          <w:rFonts w:ascii="Avenir Next LT Pro" w:hAnsi="Avenir Next LT Pro" w:cs="Arial"/>
          <w:shd w:val="clear" w:color="auto" w:fill="FFFFFF"/>
        </w:rPr>
        <w:t xml:space="preserve">Deputy </w:t>
      </w:r>
      <w:r w:rsidR="00D00828" w:rsidRPr="00D50145">
        <w:rPr>
          <w:rFonts w:ascii="Avenir Next LT Pro" w:hAnsi="Avenir Next LT Pro" w:cs="Arial"/>
          <w:shd w:val="clear" w:color="auto" w:fill="FFFFFF"/>
        </w:rPr>
        <w:t>Commissioner for the Minnesota Department of Employment and Economic Development</w:t>
      </w:r>
      <w:r w:rsidR="00CE0891" w:rsidRPr="00D50145">
        <w:rPr>
          <w:rFonts w:ascii="Avenir Next LT Pro" w:hAnsi="Avenir Next LT Pro" w:cs="Arial"/>
          <w:shd w:val="clear" w:color="auto" w:fill="FFFFFF"/>
        </w:rPr>
        <w:t>,</w:t>
      </w:r>
      <w:r w:rsidR="008B2393" w:rsidRPr="00D50145">
        <w:rPr>
          <w:rFonts w:ascii="Avenir Next LT Pro" w:hAnsi="Avenir Next LT Pro" w:cs="Arial"/>
          <w:shd w:val="clear" w:color="auto" w:fill="FFFFFF"/>
        </w:rPr>
        <w:t xml:space="preserve"> Executive Director of the </w:t>
      </w:r>
      <w:r w:rsidR="00CE0891" w:rsidRPr="00D50145">
        <w:rPr>
          <w:rFonts w:ascii="Avenir Next LT Pro" w:hAnsi="Avenir Next LT Pro" w:cs="Arial"/>
          <w:shd w:val="clear" w:color="auto" w:fill="FFFFFF"/>
        </w:rPr>
        <w:t xml:space="preserve">City of Minneapolis </w:t>
      </w:r>
      <w:r w:rsidR="008B2393" w:rsidRPr="00D50145">
        <w:rPr>
          <w:rFonts w:ascii="Avenir Next LT Pro" w:hAnsi="Avenir Next LT Pro" w:cs="Arial"/>
          <w:shd w:val="clear" w:color="auto" w:fill="FFFFFF"/>
        </w:rPr>
        <w:t xml:space="preserve">Department of Community Planning and Economic Development, </w:t>
      </w:r>
      <w:r w:rsidR="00CE0891" w:rsidRPr="00D50145">
        <w:rPr>
          <w:rFonts w:ascii="Avenir Next LT Pro" w:hAnsi="Avenir Next LT Pro" w:cs="Arial"/>
          <w:shd w:val="clear" w:color="auto" w:fill="FFFFFF"/>
        </w:rPr>
        <w:t xml:space="preserve">and </w:t>
      </w:r>
      <w:r w:rsidR="008B2393" w:rsidRPr="00D50145">
        <w:rPr>
          <w:rFonts w:ascii="Avenir Next LT Pro" w:hAnsi="Avenir Next LT Pro" w:cs="Arial"/>
          <w:shd w:val="clear" w:color="auto" w:fill="FFFFFF"/>
        </w:rPr>
        <w:t>Chief of Staff to Mayor R.T. Rybak</w:t>
      </w:r>
      <w:r w:rsidR="001D2B76" w:rsidRPr="00D50145">
        <w:rPr>
          <w:rFonts w:ascii="Avenir Next LT Pro" w:hAnsi="Avenir Next LT Pro" w:cs="Arial"/>
          <w:shd w:val="clear" w:color="auto" w:fill="FFFFFF"/>
        </w:rPr>
        <w:t>.</w:t>
      </w:r>
      <w:r w:rsidR="00B50B65" w:rsidRPr="00D50145">
        <w:rPr>
          <w:rFonts w:ascii="Avenir Next LT Pro" w:hAnsi="Avenir Next LT Pro"/>
        </w:rPr>
        <w:t xml:space="preserve"> Prior to entering public service, </w:t>
      </w:r>
      <w:r w:rsidR="00B50B65" w:rsidRPr="00D50145">
        <w:rPr>
          <w:rFonts w:ascii="Avenir Next LT Pro" w:hAnsi="Avenir Next LT Pro" w:cs="Arial"/>
          <w:shd w:val="clear" w:color="auto" w:fill="FFFFFF"/>
        </w:rPr>
        <w:t xml:space="preserve">Jeremy spent ten years in nonprofit issue and legislative advocacy, including </w:t>
      </w:r>
      <w:r w:rsidR="00D50145" w:rsidRPr="00D50145">
        <w:rPr>
          <w:rFonts w:ascii="Avenir Next LT Pro" w:hAnsi="Avenir Next LT Pro" w:cs="Arial"/>
          <w:shd w:val="clear" w:color="auto" w:fill="FFFFFF"/>
        </w:rPr>
        <w:t xml:space="preserve">for </w:t>
      </w:r>
      <w:r w:rsidR="00B50B65" w:rsidRPr="00D50145">
        <w:rPr>
          <w:rFonts w:ascii="Avenir Next LT Pro" w:hAnsi="Avenir Next LT Pro" w:cs="Arial"/>
          <w:shd w:val="clear" w:color="auto" w:fill="FFFFFF"/>
        </w:rPr>
        <w:t>the Minnesota Smoke-Free Coalition and the Minnesota AIDS Project.</w:t>
      </w:r>
    </w:p>
    <w:p w14:paraId="29F92BB4" w14:textId="443F36D0" w:rsidR="358D2810" w:rsidRPr="00FC554E" w:rsidRDefault="00867784" w:rsidP="358D2810">
      <w:pPr>
        <w:pStyle w:val="NormalWeb"/>
        <w:spacing w:before="0" w:beforeAutospacing="0"/>
        <w:rPr>
          <w:rFonts w:ascii="Avenir Next LT Pro" w:hAnsi="Avenir Next LT Pro"/>
          <w:sz w:val="22"/>
          <w:szCs w:val="22"/>
        </w:rPr>
      </w:pPr>
      <w:r w:rsidRPr="00D50145">
        <w:rPr>
          <w:rFonts w:ascii="Avenir Next LT Pro" w:hAnsi="Avenir Next LT Pro"/>
          <w:b/>
          <w:bCs/>
          <w:sz w:val="22"/>
          <w:szCs w:val="22"/>
        </w:rPr>
        <w:t>Megan Mueller</w:t>
      </w:r>
      <w:r w:rsidR="0007349A" w:rsidRPr="00D50145">
        <w:rPr>
          <w:rFonts w:ascii="Avenir Next LT Pro" w:hAnsi="Avenir Next LT Pro"/>
          <w:b/>
          <w:bCs/>
          <w:sz w:val="22"/>
          <w:szCs w:val="22"/>
        </w:rPr>
        <w:t xml:space="preserve"> </w:t>
      </w:r>
      <w:r w:rsidR="0007349A" w:rsidRPr="00D50145">
        <w:rPr>
          <w:rFonts w:ascii="Avenir Next LT Pro" w:hAnsi="Avenir Next LT Pro"/>
          <w:sz w:val="22"/>
          <w:szCs w:val="22"/>
        </w:rPr>
        <w:t>(she/her)</w:t>
      </w:r>
      <w:r w:rsidRPr="00D50145">
        <w:rPr>
          <w:rFonts w:ascii="Avenir Next LT Pro" w:hAnsi="Avenir Next LT Pro"/>
          <w:sz w:val="22"/>
          <w:szCs w:val="22"/>
        </w:rPr>
        <w:t xml:space="preserve">, </w:t>
      </w:r>
      <w:r w:rsidR="002558A7" w:rsidRPr="00D50145">
        <w:rPr>
          <w:rFonts w:ascii="Avenir Next LT Pro" w:hAnsi="Avenir Next LT Pro" w:cs="Arial"/>
          <w:sz w:val="22"/>
          <w:szCs w:val="22"/>
        </w:rPr>
        <w:t>Associate Director of Education and Prevention</w:t>
      </w:r>
      <w:r w:rsidR="00513903" w:rsidRPr="00D50145">
        <w:rPr>
          <w:rFonts w:ascii="Avenir Next LT Pro" w:hAnsi="Avenir Next LT Pro" w:cs="Arial"/>
          <w:sz w:val="22"/>
          <w:szCs w:val="22"/>
        </w:rPr>
        <w:t>,</w:t>
      </w:r>
      <w:r w:rsidR="002558A7" w:rsidRPr="00D50145">
        <w:rPr>
          <w:rFonts w:ascii="Avenir Next LT Pro" w:hAnsi="Avenir Next LT Pro" w:cs="Arial"/>
          <w:sz w:val="22"/>
          <w:szCs w:val="22"/>
        </w:rPr>
        <w:t xml:space="preserve"> oversees </w:t>
      </w:r>
      <w:r w:rsidR="00C93220" w:rsidRPr="00D50145">
        <w:rPr>
          <w:rFonts w:ascii="Avenir Next LT Pro" w:hAnsi="Avenir Next LT Pro" w:cs="Arial"/>
          <w:sz w:val="22"/>
          <w:szCs w:val="22"/>
        </w:rPr>
        <w:t>our</w:t>
      </w:r>
      <w:r w:rsidR="002558A7" w:rsidRPr="00D50145">
        <w:rPr>
          <w:rFonts w:ascii="Avenir Next LT Pro" w:hAnsi="Avenir Next LT Pro" w:cs="Arial"/>
          <w:sz w:val="22"/>
          <w:szCs w:val="22"/>
        </w:rPr>
        <w:t xml:space="preserve"> professional education </w:t>
      </w:r>
      <w:r w:rsidR="00C93220" w:rsidRPr="00D50145">
        <w:rPr>
          <w:rFonts w:ascii="Avenir Next LT Pro" w:hAnsi="Avenir Next LT Pro" w:cs="Arial"/>
          <w:sz w:val="22"/>
          <w:szCs w:val="22"/>
        </w:rPr>
        <w:t>and community education programs</w:t>
      </w:r>
      <w:r w:rsidR="002558A7" w:rsidRPr="00D50145">
        <w:rPr>
          <w:rFonts w:ascii="Avenir Next LT Pro" w:hAnsi="Avenir Next LT Pro" w:cs="Arial"/>
          <w:sz w:val="22"/>
          <w:szCs w:val="22"/>
        </w:rPr>
        <w:t>. Megan is passionate</w:t>
      </w:r>
      <w:r w:rsidR="002558A7" w:rsidRPr="002558A7">
        <w:rPr>
          <w:rFonts w:ascii="Avenir Next LT Pro" w:hAnsi="Avenir Next LT Pro" w:cs="Arial"/>
          <w:sz w:val="22"/>
          <w:szCs w:val="22"/>
        </w:rPr>
        <w:t xml:space="preserve"> about teaching professionals with hopes that the education they receive trickles down to more competent care for the community we love and serve. She also thrives empowering communities with the </w:t>
      </w:r>
      <w:r w:rsidR="0039245C">
        <w:rPr>
          <w:rFonts w:ascii="Avenir Next LT Pro" w:hAnsi="Avenir Next LT Pro" w:cs="Arial"/>
          <w:sz w:val="22"/>
          <w:szCs w:val="22"/>
        </w:rPr>
        <w:t>resources</w:t>
      </w:r>
      <w:r w:rsidR="002558A7" w:rsidRPr="002558A7">
        <w:rPr>
          <w:rFonts w:ascii="Avenir Next LT Pro" w:hAnsi="Avenir Next LT Pro" w:cs="Arial"/>
          <w:sz w:val="22"/>
          <w:szCs w:val="22"/>
        </w:rPr>
        <w:t xml:space="preserve"> that allow people to make their own decisions through a risk-reduction, sex-positive lens. Megan has her </w:t>
      </w:r>
      <w:proofErr w:type="spellStart"/>
      <w:proofErr w:type="gramStart"/>
      <w:r w:rsidR="00E3655C" w:rsidRPr="002558A7">
        <w:rPr>
          <w:rFonts w:ascii="Avenir Next LT Pro" w:hAnsi="Avenir Next LT Pro" w:cs="Arial"/>
          <w:sz w:val="22"/>
          <w:szCs w:val="22"/>
        </w:rPr>
        <w:t>Masters</w:t>
      </w:r>
      <w:proofErr w:type="spellEnd"/>
      <w:r w:rsidR="002558A7" w:rsidRPr="002558A7">
        <w:rPr>
          <w:rFonts w:ascii="Avenir Next LT Pro" w:hAnsi="Avenir Next LT Pro" w:cs="Arial"/>
          <w:sz w:val="22"/>
          <w:szCs w:val="22"/>
        </w:rPr>
        <w:t xml:space="preserve"> in Public Health</w:t>
      </w:r>
      <w:proofErr w:type="gramEnd"/>
      <w:r w:rsidR="002558A7" w:rsidRPr="002558A7">
        <w:rPr>
          <w:rFonts w:ascii="Avenir Next LT Pro" w:hAnsi="Avenir Next LT Pro" w:cs="Arial"/>
          <w:sz w:val="22"/>
          <w:szCs w:val="22"/>
        </w:rPr>
        <w:t xml:space="preserve"> from BRAC University in Bangladesh, where she lived, studied, and worked with an infectious disease research hospital in the capital, Dhaka. </w:t>
      </w:r>
    </w:p>
    <w:p w14:paraId="23297CCD" w14:textId="4C1FEFC7" w:rsidR="001A3A54" w:rsidRPr="00724147" w:rsidRDefault="00867784" w:rsidP="00724147">
      <w:pPr>
        <w:rPr>
          <w:rFonts w:ascii="Avenir Next LT Pro" w:hAnsi="Avenir Next LT Pro"/>
        </w:rPr>
      </w:pPr>
      <w:r w:rsidRPr="002558A7">
        <w:rPr>
          <w:rFonts w:ascii="Avenir Next LT Pro" w:hAnsi="Avenir Next LT Pro"/>
          <w:b/>
          <w:bCs/>
        </w:rPr>
        <w:t>Phil Duran</w:t>
      </w:r>
      <w:r w:rsidR="0007349A">
        <w:rPr>
          <w:rFonts w:ascii="Avenir Next LT Pro" w:hAnsi="Avenir Next LT Pro"/>
          <w:b/>
          <w:bCs/>
        </w:rPr>
        <w:t xml:space="preserve"> </w:t>
      </w:r>
      <w:r w:rsidR="0007349A" w:rsidRPr="00F36A33">
        <w:rPr>
          <w:rFonts w:ascii="Avenir Next LT Pro" w:hAnsi="Avenir Next LT Pro"/>
        </w:rPr>
        <w:t>(he/him)</w:t>
      </w:r>
      <w:r w:rsidRPr="00F36A33">
        <w:rPr>
          <w:rFonts w:ascii="Avenir Next LT Pro" w:hAnsi="Avenir Next LT Pro"/>
        </w:rPr>
        <w:t>,</w:t>
      </w:r>
      <w:r w:rsidRPr="002558A7">
        <w:rPr>
          <w:rFonts w:ascii="Avenir Next LT Pro" w:hAnsi="Avenir Next LT Pro"/>
        </w:rPr>
        <w:t xml:space="preserve"> </w:t>
      </w:r>
      <w:r w:rsidR="001A3A54" w:rsidRPr="002558A7">
        <w:rPr>
          <w:rFonts w:ascii="Avenir Next LT Pro" w:hAnsi="Avenir Next LT Pro" w:cs="Arial"/>
        </w:rPr>
        <w:t xml:space="preserve">Director of Advocacy and Research, oversees </w:t>
      </w:r>
      <w:r w:rsidR="00513903">
        <w:rPr>
          <w:rFonts w:ascii="Avenir Next LT Pro" w:hAnsi="Avenir Next LT Pro" w:cs="Arial"/>
        </w:rPr>
        <w:t>our</w:t>
      </w:r>
      <w:r w:rsidR="001A3A54" w:rsidRPr="002558A7">
        <w:rPr>
          <w:rFonts w:ascii="Avenir Next LT Pro" w:hAnsi="Avenir Next LT Pro" w:cs="Arial"/>
        </w:rPr>
        <w:t xml:space="preserve"> advocacy and research programs, including </w:t>
      </w:r>
      <w:r w:rsidR="00513903">
        <w:rPr>
          <w:rFonts w:ascii="Avenir Next LT Pro" w:hAnsi="Avenir Next LT Pro" w:cs="Arial"/>
        </w:rPr>
        <w:t>our</w:t>
      </w:r>
      <w:r w:rsidR="001A3A54" w:rsidRPr="002558A7">
        <w:rPr>
          <w:rFonts w:ascii="Avenir Next LT Pro" w:hAnsi="Avenir Next LT Pro" w:cs="Arial"/>
        </w:rPr>
        <w:t xml:space="preserve"> </w:t>
      </w:r>
      <w:r w:rsidR="00513903">
        <w:rPr>
          <w:rFonts w:ascii="Avenir Next LT Pro" w:hAnsi="Avenir Next LT Pro" w:cs="Arial"/>
        </w:rPr>
        <w:t xml:space="preserve">older </w:t>
      </w:r>
      <w:proofErr w:type="gramStart"/>
      <w:r w:rsidR="00513903">
        <w:rPr>
          <w:rFonts w:ascii="Avenir Next LT Pro" w:hAnsi="Avenir Next LT Pro" w:cs="Arial"/>
        </w:rPr>
        <w:t>adults</w:t>
      </w:r>
      <w:proofErr w:type="gramEnd"/>
      <w:r w:rsidR="00513903">
        <w:rPr>
          <w:rFonts w:ascii="Avenir Next LT Pro" w:hAnsi="Avenir Next LT Pro" w:cs="Arial"/>
        </w:rPr>
        <w:t xml:space="preserve"> i</w:t>
      </w:r>
      <w:r w:rsidR="001A3A54" w:rsidRPr="002558A7">
        <w:rPr>
          <w:rFonts w:ascii="Avenir Next LT Pro" w:hAnsi="Avenir Next LT Pro" w:cs="Arial"/>
        </w:rPr>
        <w:t>nitiative, </w:t>
      </w:r>
      <w:r w:rsidR="007508D8">
        <w:rPr>
          <w:rFonts w:ascii="Avenir Next LT Pro" w:hAnsi="Avenir Next LT Pro" w:cs="Arial"/>
        </w:rPr>
        <w:t xml:space="preserve">public </w:t>
      </w:r>
      <w:r w:rsidR="001A3A54" w:rsidRPr="002558A7">
        <w:rPr>
          <w:rFonts w:ascii="Avenir Next LT Pro" w:hAnsi="Avenir Next LT Pro" w:cs="Arial"/>
        </w:rPr>
        <w:t>policy</w:t>
      </w:r>
      <w:r w:rsidR="00513903">
        <w:rPr>
          <w:rFonts w:ascii="Avenir Next LT Pro" w:hAnsi="Avenir Next LT Pro" w:cs="Arial"/>
        </w:rPr>
        <w:t xml:space="preserve">, </w:t>
      </w:r>
      <w:r w:rsidR="001A3A54" w:rsidRPr="002558A7">
        <w:rPr>
          <w:rFonts w:ascii="Avenir Next LT Pro" w:hAnsi="Avenir Next LT Pro" w:cs="Arial"/>
        </w:rPr>
        <w:t xml:space="preserve">and community research. As an experienced attorney and civil rights advocate, Phil also </w:t>
      </w:r>
      <w:r w:rsidR="00724147">
        <w:rPr>
          <w:rFonts w:ascii="Avenir Next LT Pro" w:hAnsi="Avenir Next LT Pro" w:cs="Arial"/>
        </w:rPr>
        <w:t>works on</w:t>
      </w:r>
      <w:r w:rsidR="001A3A54" w:rsidRPr="002558A7">
        <w:rPr>
          <w:rFonts w:ascii="Avenir Next LT Pro" w:hAnsi="Avenir Next LT Pro" w:cs="Arial"/>
        </w:rPr>
        <w:t xml:space="preserve"> cases in the areas of trans </w:t>
      </w:r>
      <w:r w:rsidR="001A3A54" w:rsidRPr="001A3A54">
        <w:rPr>
          <w:rFonts w:ascii="Avenir Next LT Pro" w:hAnsi="Avenir Next LT Pro" w:cs="Arial"/>
        </w:rPr>
        <w:t>health and human rights.</w:t>
      </w:r>
      <w:r w:rsidR="00724147">
        <w:rPr>
          <w:rFonts w:ascii="Avenir Next LT Pro" w:hAnsi="Avenir Next LT Pro" w:cs="Arial"/>
        </w:rPr>
        <w:t xml:space="preserve"> </w:t>
      </w:r>
      <w:r w:rsidR="001A3A54" w:rsidRPr="001A3A54">
        <w:rPr>
          <w:rFonts w:ascii="Avenir Next LT Pro" w:hAnsi="Avenir Next LT Pro" w:cs="Arial"/>
        </w:rPr>
        <w:t>Phil spent 18 years as legal director at OutFront Minnesota. He has been a member of the Minneapolis Civil Rights Commission and Transgender Issues Workgroup, and of Governor Mark Dayton’s Task Force on the Prevention of School Bullying.  He was a founding board member of the Minnesota Lavender Bar Association and served as president of the Minnesota State Bar Association, where he remains a member of its Health Law Section.</w:t>
      </w:r>
    </w:p>
    <w:p w14:paraId="482B4227" w14:textId="0D06478D" w:rsidR="358D2810" w:rsidRPr="00FC554E" w:rsidRDefault="006604EF" w:rsidP="00FC554E">
      <w:pPr>
        <w:pStyle w:val="NormalWeb"/>
        <w:rPr>
          <w:rFonts w:ascii="Avenir Next LT Pro" w:hAnsi="Avenir Next LT Pro" w:cs="Arial"/>
        </w:rPr>
      </w:pPr>
      <w:r w:rsidRPr="0095510B">
        <w:rPr>
          <w:rFonts w:ascii="Avenir Next LT Pro" w:hAnsi="Avenir Next LT Pro" w:cs="Arial"/>
          <w:b/>
          <w:bCs/>
          <w:sz w:val="22"/>
          <w:szCs w:val="22"/>
        </w:rPr>
        <w:t>Hannah McNamee</w:t>
      </w:r>
      <w:r w:rsidR="0007349A">
        <w:rPr>
          <w:rFonts w:ascii="Avenir Next LT Pro" w:hAnsi="Avenir Next LT Pro" w:cs="Arial"/>
          <w:b/>
          <w:bCs/>
          <w:sz w:val="22"/>
          <w:szCs w:val="22"/>
        </w:rPr>
        <w:t xml:space="preserve"> </w:t>
      </w:r>
      <w:r w:rsidR="0007349A" w:rsidRPr="00FC554E">
        <w:rPr>
          <w:rFonts w:ascii="Avenir Next LT Pro" w:hAnsi="Avenir Next LT Pro" w:cs="Arial"/>
          <w:sz w:val="22"/>
          <w:szCs w:val="22"/>
        </w:rPr>
        <w:t>(s</w:t>
      </w:r>
      <w:r w:rsidR="00BC1613" w:rsidRPr="00FC554E">
        <w:rPr>
          <w:rFonts w:ascii="Avenir Next LT Pro" w:hAnsi="Avenir Next LT Pro" w:cs="Arial"/>
          <w:sz w:val="22"/>
          <w:szCs w:val="22"/>
        </w:rPr>
        <w:t>he/her)</w:t>
      </w:r>
      <w:r w:rsidRPr="00FC554E">
        <w:rPr>
          <w:rFonts w:ascii="Avenir Next LT Pro" w:hAnsi="Avenir Next LT Pro" w:cs="Arial"/>
          <w:sz w:val="22"/>
          <w:szCs w:val="22"/>
        </w:rPr>
        <w:t xml:space="preserve">, </w:t>
      </w:r>
      <w:r w:rsidR="00752DEB" w:rsidRPr="00FC554E">
        <w:rPr>
          <w:rFonts w:ascii="Avenir Next LT Pro" w:hAnsi="Avenir Next LT Pro" w:cs="Arial"/>
          <w:sz w:val="22"/>
          <w:szCs w:val="22"/>
        </w:rPr>
        <w:t>Education Superviso</w:t>
      </w:r>
      <w:r w:rsidR="00FC554E" w:rsidRPr="00FC554E">
        <w:rPr>
          <w:rFonts w:ascii="Avenir Next LT Pro" w:hAnsi="Avenir Next LT Pro" w:cs="Arial"/>
          <w:sz w:val="22"/>
          <w:szCs w:val="22"/>
        </w:rPr>
        <w:t>r,</w:t>
      </w:r>
      <w:r w:rsidR="00752DEB" w:rsidRPr="00FC554E">
        <w:rPr>
          <w:rFonts w:ascii="Avenir Next LT Pro" w:hAnsi="Avenir Next LT Pro" w:cs="Arial"/>
          <w:sz w:val="22"/>
          <w:szCs w:val="22"/>
        </w:rPr>
        <w:t xml:space="preserve"> received a BA in Psychology and Public Health from Beloit College and a </w:t>
      </w:r>
      <w:proofErr w:type="gramStart"/>
      <w:r w:rsidR="00752DEB" w:rsidRPr="00FC554E">
        <w:rPr>
          <w:rFonts w:ascii="Avenir Next LT Pro" w:hAnsi="Avenir Next LT Pro" w:cs="Arial"/>
          <w:sz w:val="22"/>
          <w:szCs w:val="22"/>
        </w:rPr>
        <w:t>Master’s Degree</w:t>
      </w:r>
      <w:proofErr w:type="gramEnd"/>
      <w:r w:rsidR="00752DEB" w:rsidRPr="00FC554E">
        <w:rPr>
          <w:rFonts w:ascii="Avenir Next LT Pro" w:hAnsi="Avenir Next LT Pro" w:cs="Arial"/>
          <w:sz w:val="22"/>
          <w:szCs w:val="22"/>
        </w:rPr>
        <w:t xml:space="preserve"> in Public Health from the University of Minnesota. She has a passion for working to improve conditions for people living with HIV and LGBTQ+ populations in all spaces, particularly health systems and within the criminal justice system. Hannah loves working in an environment where she can thrive in her own queer identity, ultimately drawing from her personal experiences, research, and conversations with community to provide intersectional and impactful education. She loves training providers because it is a tangible and rewarding way to directly improve conditions for folks within these systems of care, ultimately creating systemic change for the better.</w:t>
      </w:r>
    </w:p>
    <w:p w14:paraId="29C9171A" w14:textId="2F5E9C58" w:rsidR="0070629A" w:rsidRPr="0070629A" w:rsidRDefault="00BC1613" w:rsidP="00145BC0">
      <w:pPr>
        <w:rPr>
          <w:rFonts w:ascii="Avenir Next LT Pro" w:hAnsi="Avenir Next LT Pro"/>
        </w:rPr>
      </w:pPr>
      <w:r w:rsidRPr="00BC1613">
        <w:rPr>
          <w:rFonts w:ascii="Avenir Next LT Pro" w:hAnsi="Avenir Next LT Pro"/>
          <w:b/>
          <w:bCs/>
        </w:rPr>
        <w:t xml:space="preserve">Dylan </w:t>
      </w:r>
      <w:r w:rsidRPr="00145BC0">
        <w:rPr>
          <w:rFonts w:ascii="Avenir Next LT Pro" w:hAnsi="Avenir Next LT Pro"/>
          <w:b/>
          <w:bCs/>
        </w:rPr>
        <w:t xml:space="preserve">Flunker </w:t>
      </w:r>
      <w:r w:rsidRPr="00145BC0">
        <w:rPr>
          <w:rFonts w:ascii="Avenir Next LT Pro" w:hAnsi="Avenir Next LT Pro"/>
        </w:rPr>
        <w:t xml:space="preserve">(he/him), </w:t>
      </w:r>
      <w:r w:rsidR="00145BC0" w:rsidRPr="00145BC0">
        <w:rPr>
          <w:rFonts w:ascii="Avenir Next LT Pro" w:hAnsi="Avenir Next LT Pro"/>
        </w:rPr>
        <w:t>Research &amp; Policy Manager</w:t>
      </w:r>
      <w:r w:rsidR="0053416E">
        <w:rPr>
          <w:rFonts w:ascii="Avenir Next LT Pro" w:hAnsi="Avenir Next LT Pro"/>
        </w:rPr>
        <w:t>,</w:t>
      </w:r>
      <w:r w:rsidR="00145BC0" w:rsidRPr="00145BC0">
        <w:rPr>
          <w:rFonts w:ascii="Avenir Next LT Pro" w:hAnsi="Avenir Next LT Pro"/>
        </w:rPr>
        <w:t xml:space="preserve"> </w:t>
      </w:r>
      <w:r w:rsidR="000A7045">
        <w:rPr>
          <w:rFonts w:ascii="Avenir Next LT Pro" w:hAnsi="Avenir Next LT Pro"/>
        </w:rPr>
        <w:t>has</w:t>
      </w:r>
      <w:r w:rsidR="00145BC0" w:rsidRPr="00145BC0">
        <w:rPr>
          <w:rFonts w:ascii="Avenir Next LT Pro" w:hAnsi="Avenir Next LT Pro"/>
        </w:rPr>
        <w:t xml:space="preserve"> worked on a range of projects, including researching </w:t>
      </w:r>
      <w:r w:rsidR="003A78AB">
        <w:rPr>
          <w:rFonts w:ascii="Avenir Next LT Pro" w:hAnsi="Avenir Next LT Pro"/>
        </w:rPr>
        <w:t>LGBTQ+</w:t>
      </w:r>
      <w:r w:rsidR="00145BC0" w:rsidRPr="00145BC0">
        <w:rPr>
          <w:rFonts w:ascii="Avenir Next LT Pro" w:hAnsi="Avenir Next LT Pro"/>
        </w:rPr>
        <w:t xml:space="preserve"> </w:t>
      </w:r>
      <w:r w:rsidR="00145BC0" w:rsidRPr="0070629A">
        <w:rPr>
          <w:rFonts w:ascii="Avenir Next LT Pro" w:hAnsi="Avenir Next LT Pro"/>
        </w:rPr>
        <w:t xml:space="preserve">health access and experiences, advocating for trans health insurance coverage, and promoting health and wellness in </w:t>
      </w:r>
      <w:r w:rsidR="003A78AB">
        <w:rPr>
          <w:rFonts w:ascii="Avenir Next LT Pro" w:hAnsi="Avenir Next LT Pro"/>
        </w:rPr>
        <w:t>LGBTQ+</w:t>
      </w:r>
      <w:r w:rsidR="00145BC0" w:rsidRPr="0070629A">
        <w:rPr>
          <w:rFonts w:ascii="Avenir Next LT Pro" w:hAnsi="Avenir Next LT Pro"/>
        </w:rPr>
        <w:t xml:space="preserve"> communities.</w:t>
      </w:r>
      <w:r w:rsidR="000A7045" w:rsidRPr="0070629A">
        <w:rPr>
          <w:rFonts w:ascii="Avenir Next LT Pro" w:hAnsi="Avenir Next LT Pro"/>
        </w:rPr>
        <w:t xml:space="preserve"> He’s passionate about </w:t>
      </w:r>
      <w:r w:rsidR="003A78AB">
        <w:rPr>
          <w:rFonts w:ascii="Avenir Next LT Pro" w:hAnsi="Avenir Next LT Pro"/>
        </w:rPr>
        <w:t>LGBTQ+</w:t>
      </w:r>
      <w:r w:rsidR="000A7045" w:rsidRPr="0070629A">
        <w:rPr>
          <w:rFonts w:ascii="Avenir Next LT Pro" w:hAnsi="Avenir Next LT Pro"/>
        </w:rPr>
        <w:t xml:space="preserve"> health, social policy, health equity, and community centered research and engagement.</w:t>
      </w:r>
    </w:p>
    <w:p w14:paraId="7B79BDDB" w14:textId="3B200020" w:rsidR="008608EC" w:rsidRDefault="0070629A">
      <w:pPr>
        <w:rPr>
          <w:rFonts w:ascii="Avenir Next LT Pro" w:hAnsi="Avenir Next LT Pro"/>
        </w:rPr>
      </w:pPr>
      <w:r w:rsidRPr="0070629A">
        <w:rPr>
          <w:rFonts w:ascii="Avenir Next LT Pro" w:hAnsi="Avenir Next LT Pro"/>
          <w:b/>
          <w:bCs/>
        </w:rPr>
        <w:t>Erin Koelsch</w:t>
      </w:r>
      <w:r w:rsidRPr="0070629A">
        <w:rPr>
          <w:rFonts w:ascii="Avenir Next LT Pro" w:hAnsi="Avenir Next LT Pro"/>
        </w:rPr>
        <w:t xml:space="preserve"> (they/them)</w:t>
      </w:r>
      <w:r w:rsidR="00C71920">
        <w:rPr>
          <w:rFonts w:ascii="Avenir Next LT Pro" w:hAnsi="Avenir Next LT Pro"/>
        </w:rPr>
        <w:t xml:space="preserve">, </w:t>
      </w:r>
      <w:r w:rsidRPr="0070629A">
        <w:rPr>
          <w:rFonts w:ascii="Avenir Next LT Pro" w:hAnsi="Avenir Next LT Pro"/>
        </w:rPr>
        <w:t>Benefits Counseling Services</w:t>
      </w:r>
      <w:r w:rsidR="0053416E">
        <w:rPr>
          <w:rFonts w:ascii="Avenir Next LT Pro" w:hAnsi="Avenir Next LT Pro"/>
        </w:rPr>
        <w:t xml:space="preserve"> Supervisor</w:t>
      </w:r>
      <w:r w:rsidR="00841ED7">
        <w:rPr>
          <w:rFonts w:ascii="Avenir Next LT Pro" w:hAnsi="Avenir Next LT Pro"/>
        </w:rPr>
        <w:t xml:space="preserve">, leads our team that connects people with barriers to care with </w:t>
      </w:r>
      <w:proofErr w:type="spellStart"/>
      <w:r w:rsidR="00841ED7">
        <w:rPr>
          <w:rFonts w:ascii="Avenir Next LT Pro" w:hAnsi="Avenir Next LT Pro"/>
        </w:rPr>
        <w:t>MNSure</w:t>
      </w:r>
      <w:proofErr w:type="spellEnd"/>
      <w:r w:rsidR="00841ED7">
        <w:rPr>
          <w:rFonts w:ascii="Avenir Next LT Pro" w:hAnsi="Avenir Next LT Pro"/>
        </w:rPr>
        <w:t xml:space="preserve"> and other public </w:t>
      </w:r>
      <w:r w:rsidR="002C1C8F">
        <w:rPr>
          <w:rFonts w:ascii="Avenir Next LT Pro" w:hAnsi="Avenir Next LT Pro"/>
        </w:rPr>
        <w:t>health benefit program</w:t>
      </w:r>
      <w:r w:rsidRPr="0070629A">
        <w:rPr>
          <w:rFonts w:ascii="Avenir Next LT Pro" w:hAnsi="Avenir Next LT Pro"/>
        </w:rPr>
        <w:t xml:space="preserve">. </w:t>
      </w:r>
      <w:r w:rsidR="002C1C8F">
        <w:rPr>
          <w:rFonts w:ascii="Avenir Next LT Pro" w:hAnsi="Avenir Next LT Pro"/>
        </w:rPr>
        <w:t xml:space="preserve">Erin’s team also </w:t>
      </w:r>
      <w:r w:rsidR="000A6F3C">
        <w:rPr>
          <w:rFonts w:ascii="Avenir Next LT Pro" w:hAnsi="Avenir Next LT Pro"/>
        </w:rPr>
        <w:t>helps</w:t>
      </w:r>
      <w:r w:rsidR="002C1C8F">
        <w:rPr>
          <w:rFonts w:ascii="Avenir Next LT Pro" w:hAnsi="Avenir Next LT Pro"/>
        </w:rPr>
        <w:t xml:space="preserve"> </w:t>
      </w:r>
      <w:r w:rsidR="002E5BBB">
        <w:rPr>
          <w:rFonts w:ascii="Avenir Next LT Pro" w:hAnsi="Avenir Next LT Pro"/>
        </w:rPr>
        <w:t>healthcare product and service providers</w:t>
      </w:r>
      <w:r w:rsidR="000A6F3C">
        <w:rPr>
          <w:rFonts w:ascii="Avenir Next LT Pro" w:hAnsi="Avenir Next LT Pro"/>
        </w:rPr>
        <w:t xml:space="preserve"> improve their practices and process</w:t>
      </w:r>
      <w:r w:rsidR="002B051A">
        <w:rPr>
          <w:rFonts w:ascii="Avenir Next LT Pro" w:hAnsi="Avenir Next LT Pro"/>
        </w:rPr>
        <w:t>es</w:t>
      </w:r>
      <w:r w:rsidR="000A6F3C">
        <w:rPr>
          <w:rFonts w:ascii="Avenir Next LT Pro" w:hAnsi="Avenir Next LT Pro"/>
        </w:rPr>
        <w:t xml:space="preserve"> to be more inclusive. </w:t>
      </w:r>
      <w:r w:rsidRPr="0070629A">
        <w:rPr>
          <w:rFonts w:ascii="Avenir Next LT Pro" w:hAnsi="Avenir Next LT Pro"/>
        </w:rPr>
        <w:t xml:space="preserve">Before </w:t>
      </w:r>
      <w:r w:rsidR="3A6DE293" w:rsidRPr="1CF44CB0">
        <w:rPr>
          <w:rFonts w:ascii="Avenir Next LT Pro" w:hAnsi="Avenir Next LT Pro"/>
        </w:rPr>
        <w:t>Rainbow</w:t>
      </w:r>
      <w:r w:rsidRPr="0070629A">
        <w:rPr>
          <w:rFonts w:ascii="Avenir Next LT Pro" w:hAnsi="Avenir Next LT Pro"/>
        </w:rPr>
        <w:t xml:space="preserve"> Health, Erin worked in direct care </w:t>
      </w:r>
      <w:r w:rsidR="00393852">
        <w:rPr>
          <w:rFonts w:ascii="Avenir Next LT Pro" w:hAnsi="Avenir Next LT Pro"/>
        </w:rPr>
        <w:t xml:space="preserve">and </w:t>
      </w:r>
      <w:r w:rsidRPr="0070629A">
        <w:rPr>
          <w:rFonts w:ascii="Avenir Next LT Pro" w:hAnsi="Avenir Next LT Pro"/>
        </w:rPr>
        <w:t xml:space="preserve">nonprofit settings focused on immigration and grassroots health equity. They hold </w:t>
      </w:r>
      <w:proofErr w:type="gramStart"/>
      <w:r w:rsidRPr="0070629A">
        <w:rPr>
          <w:rFonts w:ascii="Avenir Next LT Pro" w:hAnsi="Avenir Next LT Pro"/>
        </w:rPr>
        <w:t>Bachelor’s</w:t>
      </w:r>
      <w:proofErr w:type="gramEnd"/>
      <w:r w:rsidRPr="0070629A">
        <w:rPr>
          <w:rFonts w:ascii="Avenir Next LT Pro" w:hAnsi="Avenir Next LT Pro"/>
        </w:rPr>
        <w:t xml:space="preserve"> degrees in Biology and Spanish from Bethel University.  Erin is passionate about collaborating to create programs and systems that are user-friendly and equitable for client and community access.</w:t>
      </w:r>
      <w:r w:rsidR="008608EC">
        <w:rPr>
          <w:rFonts w:ascii="Avenir Next LT Pro" w:hAnsi="Avenir Next LT Pro"/>
        </w:rPr>
        <w:br w:type="page"/>
      </w:r>
    </w:p>
    <w:p w14:paraId="6353AB4F" w14:textId="441F6ABF" w:rsidR="008608EC" w:rsidRDefault="002F299F" w:rsidP="008608EC">
      <w:pPr>
        <w:rPr>
          <w:rFonts w:ascii="Avenir Next LT Pro" w:hAnsi="Avenir Next LT Pro"/>
          <w:color w:val="00A9F4"/>
          <w:sz w:val="44"/>
          <w:szCs w:val="44"/>
        </w:rPr>
      </w:pPr>
      <w:r>
        <w:rPr>
          <w:rFonts w:ascii="Avenir Next LT Pro" w:hAnsi="Avenir Next LT Pro"/>
          <w:color w:val="00A9F4"/>
          <w:sz w:val="44"/>
          <w:szCs w:val="44"/>
        </w:rPr>
        <w:lastRenderedPageBreak/>
        <w:t xml:space="preserve">Project </w:t>
      </w:r>
      <w:r w:rsidR="008608EC">
        <w:rPr>
          <w:rFonts w:ascii="Avenir Next LT Pro" w:hAnsi="Avenir Next LT Pro"/>
          <w:color w:val="00A9F4"/>
          <w:sz w:val="44"/>
          <w:szCs w:val="44"/>
        </w:rPr>
        <w:t>Pricing</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7"/>
        <w:gridCol w:w="5107"/>
      </w:tblGrid>
      <w:tr w:rsidR="00732870" w14:paraId="4AAE16B7" w14:textId="77777777" w:rsidTr="00184B35">
        <w:tc>
          <w:tcPr>
            <w:tcW w:w="5107" w:type="dxa"/>
            <w:shd w:val="clear" w:color="auto" w:fill="DEEAF6" w:themeFill="accent5" w:themeFillTint="33"/>
          </w:tcPr>
          <w:p w14:paraId="440EF978" w14:textId="3F0FB3FE" w:rsidR="00732870" w:rsidRDefault="00732870" w:rsidP="00A15B15">
            <w:pPr>
              <w:spacing w:before="240" w:line="360" w:lineRule="auto"/>
              <w:rPr>
                <w:rFonts w:ascii="Avenir Next LT Pro" w:hAnsi="Avenir Next LT Pro"/>
              </w:rPr>
            </w:pPr>
            <w:r>
              <w:rPr>
                <w:rFonts w:ascii="Avenir Next LT Pro" w:hAnsi="Avenir Next LT Pro"/>
                <w:sz w:val="36"/>
                <w:szCs w:val="36"/>
              </w:rPr>
              <w:t>Phase</w:t>
            </w:r>
          </w:p>
        </w:tc>
        <w:tc>
          <w:tcPr>
            <w:tcW w:w="5107" w:type="dxa"/>
            <w:shd w:val="clear" w:color="auto" w:fill="DEEAF6" w:themeFill="accent5" w:themeFillTint="33"/>
          </w:tcPr>
          <w:p w14:paraId="0D85377B" w14:textId="132B3D3A" w:rsidR="00732870" w:rsidRDefault="00453364" w:rsidP="00A15B15">
            <w:pPr>
              <w:spacing w:before="240" w:line="360" w:lineRule="auto"/>
              <w:jc w:val="right"/>
              <w:rPr>
                <w:rFonts w:ascii="Avenir Next LT Pro" w:hAnsi="Avenir Next LT Pro"/>
              </w:rPr>
            </w:pPr>
            <w:r>
              <w:rPr>
                <w:rFonts w:ascii="Avenir Next LT Pro" w:hAnsi="Avenir Next LT Pro"/>
                <w:sz w:val="36"/>
                <w:szCs w:val="36"/>
              </w:rPr>
              <w:t>Cost</w:t>
            </w:r>
          </w:p>
        </w:tc>
      </w:tr>
      <w:tr w:rsidR="00732870" w14:paraId="2B83E3F7" w14:textId="77777777" w:rsidTr="00A15B15">
        <w:tc>
          <w:tcPr>
            <w:tcW w:w="5107" w:type="dxa"/>
          </w:tcPr>
          <w:p w14:paraId="13AA4AB1" w14:textId="23A234C1" w:rsidR="00732870" w:rsidRDefault="00903D0C" w:rsidP="00A15B15">
            <w:pPr>
              <w:spacing w:before="240" w:line="360" w:lineRule="auto"/>
              <w:rPr>
                <w:rFonts w:ascii="Avenir Next LT Pro" w:hAnsi="Avenir Next LT Pro"/>
              </w:rPr>
            </w:pPr>
            <w:r>
              <w:rPr>
                <w:rFonts w:ascii="Avenir Next LT Pro" w:hAnsi="Avenir Next LT Pro"/>
              </w:rPr>
              <w:t>Research</w:t>
            </w:r>
            <w:r w:rsidR="00455963">
              <w:rPr>
                <w:rFonts w:ascii="Avenir Next LT Pro" w:hAnsi="Avenir Next LT Pro"/>
              </w:rPr>
              <w:t xml:space="preserve"> and Discovery</w:t>
            </w:r>
          </w:p>
        </w:tc>
        <w:tc>
          <w:tcPr>
            <w:tcW w:w="5107" w:type="dxa"/>
          </w:tcPr>
          <w:p w14:paraId="07002479" w14:textId="6C6E0982" w:rsidR="00732870" w:rsidRDefault="00903D0C" w:rsidP="00A15B15">
            <w:pPr>
              <w:spacing w:before="240" w:line="360" w:lineRule="auto"/>
              <w:jc w:val="right"/>
              <w:rPr>
                <w:rFonts w:ascii="Avenir Next LT Pro" w:hAnsi="Avenir Next LT Pro"/>
              </w:rPr>
            </w:pPr>
            <w:r>
              <w:rPr>
                <w:rFonts w:ascii="Avenir Next LT Pro" w:hAnsi="Avenir Next LT Pro"/>
              </w:rPr>
              <w:t>$5,000</w:t>
            </w:r>
          </w:p>
        </w:tc>
      </w:tr>
      <w:tr w:rsidR="00C065B2" w14:paraId="4BBDC4F7" w14:textId="77777777" w:rsidTr="00A15B15">
        <w:tc>
          <w:tcPr>
            <w:tcW w:w="5107" w:type="dxa"/>
          </w:tcPr>
          <w:p w14:paraId="62F07D6D" w14:textId="2FCBCEB6" w:rsidR="00C065B2" w:rsidRDefault="00345898" w:rsidP="00A15B15">
            <w:pPr>
              <w:spacing w:before="240" w:line="360" w:lineRule="auto"/>
              <w:rPr>
                <w:rFonts w:ascii="Avenir Next LT Pro" w:hAnsi="Avenir Next LT Pro"/>
              </w:rPr>
            </w:pPr>
            <w:r>
              <w:rPr>
                <w:rFonts w:ascii="Avenir Next LT Pro" w:hAnsi="Avenir Next LT Pro"/>
              </w:rPr>
              <w:t>Assessment</w:t>
            </w:r>
          </w:p>
        </w:tc>
        <w:tc>
          <w:tcPr>
            <w:tcW w:w="5107" w:type="dxa"/>
          </w:tcPr>
          <w:p w14:paraId="3F08B2BD" w14:textId="5C73C548" w:rsidR="00C065B2" w:rsidRDefault="00E31749" w:rsidP="00A15B15">
            <w:pPr>
              <w:spacing w:before="240" w:line="360" w:lineRule="auto"/>
              <w:jc w:val="right"/>
              <w:rPr>
                <w:rFonts w:ascii="Avenir Next LT Pro" w:hAnsi="Avenir Next LT Pro"/>
              </w:rPr>
            </w:pPr>
            <w:r>
              <w:rPr>
                <w:rFonts w:ascii="Avenir Next LT Pro" w:hAnsi="Avenir Next LT Pro"/>
              </w:rPr>
              <w:t>$15,000</w:t>
            </w:r>
          </w:p>
        </w:tc>
      </w:tr>
      <w:tr w:rsidR="00E31749" w14:paraId="55401381" w14:textId="77777777" w:rsidTr="00A15B15">
        <w:tc>
          <w:tcPr>
            <w:tcW w:w="5107" w:type="dxa"/>
          </w:tcPr>
          <w:p w14:paraId="0241D963" w14:textId="5CE17920" w:rsidR="00E31749" w:rsidRDefault="00E31749" w:rsidP="00A15B15">
            <w:pPr>
              <w:spacing w:before="240" w:line="360" w:lineRule="auto"/>
              <w:rPr>
                <w:rFonts w:ascii="Avenir Next LT Pro" w:hAnsi="Avenir Next LT Pro"/>
              </w:rPr>
            </w:pPr>
            <w:r>
              <w:rPr>
                <w:rFonts w:ascii="Avenir Next LT Pro" w:hAnsi="Avenir Next LT Pro"/>
              </w:rPr>
              <w:t>Training and Technical Guidance</w:t>
            </w:r>
          </w:p>
        </w:tc>
        <w:tc>
          <w:tcPr>
            <w:tcW w:w="5107" w:type="dxa"/>
          </w:tcPr>
          <w:p w14:paraId="333D645D" w14:textId="2E8AB4B3" w:rsidR="00E31749" w:rsidRDefault="007337E0" w:rsidP="00A15B15">
            <w:pPr>
              <w:spacing w:before="240" w:line="360" w:lineRule="auto"/>
              <w:jc w:val="right"/>
              <w:rPr>
                <w:rFonts w:ascii="Avenir Next LT Pro" w:hAnsi="Avenir Next LT Pro"/>
              </w:rPr>
            </w:pPr>
            <w:r>
              <w:rPr>
                <w:rFonts w:ascii="Avenir Next LT Pro" w:hAnsi="Avenir Next LT Pro"/>
              </w:rPr>
              <w:t>$10,000-</w:t>
            </w:r>
            <w:r w:rsidR="000A1CB8">
              <w:rPr>
                <w:rFonts w:ascii="Avenir Next LT Pro" w:hAnsi="Avenir Next LT Pro"/>
              </w:rPr>
              <w:t>$</w:t>
            </w:r>
            <w:r>
              <w:rPr>
                <w:rFonts w:ascii="Avenir Next LT Pro" w:hAnsi="Avenir Next LT Pro"/>
              </w:rPr>
              <w:t>20,000</w:t>
            </w:r>
          </w:p>
        </w:tc>
      </w:tr>
      <w:tr w:rsidR="00DA67B9" w14:paraId="2B7ED5AB" w14:textId="77777777" w:rsidTr="00A15B15">
        <w:tc>
          <w:tcPr>
            <w:tcW w:w="5107" w:type="dxa"/>
          </w:tcPr>
          <w:p w14:paraId="41997937" w14:textId="37A6EFF3" w:rsidR="00DA67B9" w:rsidRDefault="00DA67B9" w:rsidP="00A15B15">
            <w:pPr>
              <w:spacing w:before="240" w:line="360" w:lineRule="auto"/>
              <w:rPr>
                <w:rFonts w:ascii="Avenir Next LT Pro" w:hAnsi="Avenir Next LT Pro"/>
              </w:rPr>
            </w:pPr>
            <w:r>
              <w:rPr>
                <w:rFonts w:ascii="Avenir Next LT Pro" w:hAnsi="Avenir Next LT Pro"/>
              </w:rPr>
              <w:t>Follow-up and Ongoing Support</w:t>
            </w:r>
          </w:p>
        </w:tc>
        <w:tc>
          <w:tcPr>
            <w:tcW w:w="5107" w:type="dxa"/>
          </w:tcPr>
          <w:p w14:paraId="37CC1643" w14:textId="0994DA63" w:rsidR="00DA67B9" w:rsidRDefault="00DA67B9" w:rsidP="00A15B15">
            <w:pPr>
              <w:spacing w:before="240" w:line="360" w:lineRule="auto"/>
              <w:jc w:val="right"/>
              <w:rPr>
                <w:rFonts w:ascii="Avenir Next LT Pro" w:hAnsi="Avenir Next LT Pro"/>
              </w:rPr>
            </w:pPr>
            <w:r>
              <w:rPr>
                <w:rFonts w:ascii="Avenir Next LT Pro" w:hAnsi="Avenir Next LT Pro"/>
              </w:rPr>
              <w:t>$5,000-</w:t>
            </w:r>
            <w:r w:rsidR="000A1CB8">
              <w:rPr>
                <w:rFonts w:ascii="Avenir Next LT Pro" w:hAnsi="Avenir Next LT Pro"/>
              </w:rPr>
              <w:t>$10,000</w:t>
            </w:r>
          </w:p>
        </w:tc>
      </w:tr>
      <w:tr w:rsidR="00BA5599" w14:paraId="6A43E8F2" w14:textId="77777777" w:rsidTr="00A15B15">
        <w:tc>
          <w:tcPr>
            <w:tcW w:w="5107" w:type="dxa"/>
          </w:tcPr>
          <w:p w14:paraId="3E2B7DC4" w14:textId="49203325" w:rsidR="00BA5599" w:rsidRPr="007005ED" w:rsidRDefault="00BA5599" w:rsidP="00A15B15">
            <w:pPr>
              <w:spacing w:before="240" w:line="360" w:lineRule="auto"/>
              <w:rPr>
                <w:rFonts w:ascii="Avenir Next LT Pro" w:hAnsi="Avenir Next LT Pro"/>
                <w:b/>
                <w:bCs/>
              </w:rPr>
            </w:pPr>
            <w:r w:rsidRPr="007005ED">
              <w:rPr>
                <w:rFonts w:ascii="Avenir Next LT Pro" w:hAnsi="Avenir Next LT Pro"/>
                <w:b/>
                <w:bCs/>
              </w:rPr>
              <w:t>Total</w:t>
            </w:r>
          </w:p>
        </w:tc>
        <w:tc>
          <w:tcPr>
            <w:tcW w:w="5107" w:type="dxa"/>
          </w:tcPr>
          <w:p w14:paraId="2584948F" w14:textId="2A668BE5" w:rsidR="00BA5599" w:rsidRPr="007005ED" w:rsidRDefault="00BA5599" w:rsidP="00A15B15">
            <w:pPr>
              <w:spacing w:before="240" w:line="360" w:lineRule="auto"/>
              <w:jc w:val="right"/>
              <w:rPr>
                <w:rFonts w:ascii="Avenir Next LT Pro" w:hAnsi="Avenir Next LT Pro"/>
                <w:b/>
                <w:bCs/>
              </w:rPr>
            </w:pPr>
            <w:r w:rsidRPr="007005ED">
              <w:rPr>
                <w:rFonts w:ascii="Avenir Next LT Pro" w:hAnsi="Avenir Next LT Pro"/>
                <w:b/>
                <w:bCs/>
              </w:rPr>
              <w:t>$35,000-</w:t>
            </w:r>
            <w:r w:rsidR="007005ED" w:rsidRPr="007005ED">
              <w:rPr>
                <w:rFonts w:ascii="Avenir Next LT Pro" w:hAnsi="Avenir Next LT Pro"/>
                <w:b/>
                <w:bCs/>
              </w:rPr>
              <w:t>$50,000</w:t>
            </w:r>
          </w:p>
        </w:tc>
      </w:tr>
    </w:tbl>
    <w:p w14:paraId="7ED86F96" w14:textId="52007982" w:rsidR="001A3A54" w:rsidRDefault="001A3A54" w:rsidP="008608EC">
      <w:pPr>
        <w:rPr>
          <w:rFonts w:ascii="Avenir Next LT Pro" w:hAnsi="Avenir Next LT Pro"/>
        </w:rPr>
      </w:pPr>
    </w:p>
    <w:p w14:paraId="77424ABD" w14:textId="453A1EAF" w:rsidR="0022639D" w:rsidRDefault="0022639D" w:rsidP="008608EC">
      <w:pPr>
        <w:rPr>
          <w:rFonts w:ascii="Avenir Next LT Pro" w:hAnsi="Avenir Next LT Pro"/>
        </w:rPr>
      </w:pPr>
    </w:p>
    <w:p w14:paraId="35CD99CA" w14:textId="65EF68BE" w:rsidR="0022639D" w:rsidRPr="00145BC0" w:rsidRDefault="00707719" w:rsidP="008608EC">
      <w:pPr>
        <w:rPr>
          <w:rFonts w:ascii="Avenir Next LT Pro" w:hAnsi="Avenir Next LT Pro"/>
        </w:rPr>
      </w:pPr>
      <w:r w:rsidRPr="00707719">
        <w:rPr>
          <w:rFonts w:ascii="Avenir Next LT Pro" w:hAnsi="Avenir Next LT Pro"/>
        </w:rPr>
        <w:t xml:space="preserve">50% of </w:t>
      </w:r>
      <w:r w:rsidR="00E87E91">
        <w:rPr>
          <w:rFonts w:ascii="Avenir Next LT Pro" w:hAnsi="Avenir Next LT Pro"/>
        </w:rPr>
        <w:t>minimum estimated total project cost</w:t>
      </w:r>
      <w:r w:rsidRPr="00707719">
        <w:rPr>
          <w:rFonts w:ascii="Avenir Next LT Pro" w:hAnsi="Avenir Next LT Pro"/>
        </w:rPr>
        <w:t xml:space="preserve"> will be due at contract signing totaling $1</w:t>
      </w:r>
      <w:r w:rsidR="00E87E91">
        <w:rPr>
          <w:rFonts w:ascii="Avenir Next LT Pro" w:hAnsi="Avenir Next LT Pro"/>
        </w:rPr>
        <w:t>7</w:t>
      </w:r>
      <w:r w:rsidRPr="00707719">
        <w:rPr>
          <w:rFonts w:ascii="Avenir Next LT Pro" w:hAnsi="Avenir Next LT Pro"/>
        </w:rPr>
        <w:t>,</w:t>
      </w:r>
      <w:r w:rsidR="00E87E91">
        <w:rPr>
          <w:rFonts w:ascii="Avenir Next LT Pro" w:hAnsi="Avenir Next LT Pro"/>
        </w:rPr>
        <w:t>5</w:t>
      </w:r>
      <w:r w:rsidRPr="00707719">
        <w:rPr>
          <w:rFonts w:ascii="Avenir Next LT Pro" w:hAnsi="Avenir Next LT Pro"/>
        </w:rPr>
        <w:t>0</w:t>
      </w:r>
      <w:r w:rsidR="00E87E91">
        <w:rPr>
          <w:rFonts w:ascii="Avenir Next LT Pro" w:hAnsi="Avenir Next LT Pro"/>
        </w:rPr>
        <w:t>0</w:t>
      </w:r>
      <w:r w:rsidRPr="00707719">
        <w:rPr>
          <w:rFonts w:ascii="Avenir Next LT Pro" w:hAnsi="Avenir Next LT Pro"/>
        </w:rPr>
        <w:t>.</w:t>
      </w:r>
      <w:r w:rsidR="00D36802">
        <w:rPr>
          <w:rFonts w:ascii="Avenir Next LT Pro" w:hAnsi="Avenir Next LT Pro"/>
        </w:rPr>
        <w:t xml:space="preserve"> The</w:t>
      </w:r>
      <w:r w:rsidR="00E22107">
        <w:rPr>
          <w:rFonts w:ascii="Avenir Next LT Pro" w:hAnsi="Avenir Next LT Pro"/>
        </w:rPr>
        <w:t xml:space="preserve"> remaining </w:t>
      </w:r>
      <w:r w:rsidR="00D36802">
        <w:rPr>
          <w:rFonts w:ascii="Avenir Next LT Pro" w:hAnsi="Avenir Next LT Pro"/>
        </w:rPr>
        <w:t>project cost will be revised with greater specificity following the Assessment</w:t>
      </w:r>
      <w:r w:rsidR="000553DB">
        <w:rPr>
          <w:rFonts w:ascii="Avenir Next LT Pro" w:hAnsi="Avenir Next LT Pro"/>
        </w:rPr>
        <w:t xml:space="preserve"> before the Training and Technical Guidance begins. </w:t>
      </w:r>
      <w:r w:rsidR="0056068B">
        <w:rPr>
          <w:rFonts w:ascii="Avenir Next LT Pro" w:hAnsi="Avenir Next LT Pro"/>
        </w:rPr>
        <w:t xml:space="preserve">50% of the remaining project cost will be due prior to training being initiated and </w:t>
      </w:r>
      <w:r w:rsidR="00C40A4B">
        <w:rPr>
          <w:rFonts w:ascii="Avenir Next LT Pro" w:hAnsi="Avenir Next LT Pro"/>
        </w:rPr>
        <w:t xml:space="preserve">the balance of fees dues within 30 days of </w:t>
      </w:r>
      <w:r w:rsidR="00E91A14">
        <w:rPr>
          <w:rFonts w:ascii="Avenir Next LT Pro" w:hAnsi="Avenir Next LT Pro"/>
        </w:rPr>
        <w:t>completed training program.</w:t>
      </w:r>
    </w:p>
    <w:sectPr w:rsidR="0022639D" w:rsidRPr="00145BC0" w:rsidSect="00DD73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386"/>
    <w:multiLevelType w:val="hybridMultilevel"/>
    <w:tmpl w:val="419A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A15392"/>
    <w:multiLevelType w:val="hybridMultilevel"/>
    <w:tmpl w:val="9244A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8D"/>
    <w:rsid w:val="000553DB"/>
    <w:rsid w:val="000709D7"/>
    <w:rsid w:val="0007349A"/>
    <w:rsid w:val="00077329"/>
    <w:rsid w:val="00095B2F"/>
    <w:rsid w:val="000A1A04"/>
    <w:rsid w:val="000A1CB8"/>
    <w:rsid w:val="000A6F3C"/>
    <w:rsid w:val="000A7045"/>
    <w:rsid w:val="00145BC0"/>
    <w:rsid w:val="00172ABA"/>
    <w:rsid w:val="00184B35"/>
    <w:rsid w:val="0019421F"/>
    <w:rsid w:val="001A3A54"/>
    <w:rsid w:val="001B3592"/>
    <w:rsid w:val="001C74AF"/>
    <w:rsid w:val="001C7F8D"/>
    <w:rsid w:val="001D18D2"/>
    <w:rsid w:val="001D2B76"/>
    <w:rsid w:val="001D391C"/>
    <w:rsid w:val="001D46D7"/>
    <w:rsid w:val="001E5B77"/>
    <w:rsid w:val="001E6FE5"/>
    <w:rsid w:val="002102C9"/>
    <w:rsid w:val="0022639D"/>
    <w:rsid w:val="0022707B"/>
    <w:rsid w:val="0023004E"/>
    <w:rsid w:val="0023281B"/>
    <w:rsid w:val="002558A7"/>
    <w:rsid w:val="00280A39"/>
    <w:rsid w:val="00286F59"/>
    <w:rsid w:val="002A60A7"/>
    <w:rsid w:val="002B051A"/>
    <w:rsid w:val="002B71C2"/>
    <w:rsid w:val="002C1C8F"/>
    <w:rsid w:val="002D028E"/>
    <w:rsid w:val="002D1DBD"/>
    <w:rsid w:val="002E5BBB"/>
    <w:rsid w:val="002E7F0C"/>
    <w:rsid w:val="002F299F"/>
    <w:rsid w:val="00313221"/>
    <w:rsid w:val="00314D27"/>
    <w:rsid w:val="0032510D"/>
    <w:rsid w:val="003422D3"/>
    <w:rsid w:val="003445E7"/>
    <w:rsid w:val="00345898"/>
    <w:rsid w:val="0037057C"/>
    <w:rsid w:val="003739E6"/>
    <w:rsid w:val="0039245C"/>
    <w:rsid w:val="00393852"/>
    <w:rsid w:val="003A78AB"/>
    <w:rsid w:val="003B35B6"/>
    <w:rsid w:val="003F2AAA"/>
    <w:rsid w:val="003F433C"/>
    <w:rsid w:val="00412F4D"/>
    <w:rsid w:val="004147EB"/>
    <w:rsid w:val="00415C8D"/>
    <w:rsid w:val="00423F3D"/>
    <w:rsid w:val="00424ED4"/>
    <w:rsid w:val="00453364"/>
    <w:rsid w:val="00455963"/>
    <w:rsid w:val="004608A3"/>
    <w:rsid w:val="00480ED5"/>
    <w:rsid w:val="00491332"/>
    <w:rsid w:val="0049792A"/>
    <w:rsid w:val="004B7226"/>
    <w:rsid w:val="00510392"/>
    <w:rsid w:val="00513903"/>
    <w:rsid w:val="00527821"/>
    <w:rsid w:val="0053416E"/>
    <w:rsid w:val="00535E7E"/>
    <w:rsid w:val="005416CB"/>
    <w:rsid w:val="0056068B"/>
    <w:rsid w:val="00560A2A"/>
    <w:rsid w:val="0058221E"/>
    <w:rsid w:val="005B627E"/>
    <w:rsid w:val="005F028F"/>
    <w:rsid w:val="00623688"/>
    <w:rsid w:val="0064739E"/>
    <w:rsid w:val="006604EF"/>
    <w:rsid w:val="00663DEA"/>
    <w:rsid w:val="006651A8"/>
    <w:rsid w:val="00667217"/>
    <w:rsid w:val="00681456"/>
    <w:rsid w:val="006B7FDF"/>
    <w:rsid w:val="006C5469"/>
    <w:rsid w:val="007005ED"/>
    <w:rsid w:val="0070629A"/>
    <w:rsid w:val="00707719"/>
    <w:rsid w:val="00716CAF"/>
    <w:rsid w:val="00724147"/>
    <w:rsid w:val="007318A5"/>
    <w:rsid w:val="00732870"/>
    <w:rsid w:val="007337E0"/>
    <w:rsid w:val="007508D8"/>
    <w:rsid w:val="00751581"/>
    <w:rsid w:val="00752DEB"/>
    <w:rsid w:val="007671FC"/>
    <w:rsid w:val="00772777"/>
    <w:rsid w:val="00784591"/>
    <w:rsid w:val="007C531D"/>
    <w:rsid w:val="007E4366"/>
    <w:rsid w:val="0082305D"/>
    <w:rsid w:val="008264FE"/>
    <w:rsid w:val="008306E5"/>
    <w:rsid w:val="00841ED7"/>
    <w:rsid w:val="008608EC"/>
    <w:rsid w:val="00867784"/>
    <w:rsid w:val="00871BFA"/>
    <w:rsid w:val="008A287E"/>
    <w:rsid w:val="008A4F52"/>
    <w:rsid w:val="008B2393"/>
    <w:rsid w:val="008B484D"/>
    <w:rsid w:val="008F36AD"/>
    <w:rsid w:val="00903D0C"/>
    <w:rsid w:val="009062BF"/>
    <w:rsid w:val="009353A9"/>
    <w:rsid w:val="0095510B"/>
    <w:rsid w:val="00972ECC"/>
    <w:rsid w:val="009923BE"/>
    <w:rsid w:val="009935D9"/>
    <w:rsid w:val="009937E5"/>
    <w:rsid w:val="00994404"/>
    <w:rsid w:val="009A09E0"/>
    <w:rsid w:val="009B038A"/>
    <w:rsid w:val="009B1360"/>
    <w:rsid w:val="009C6E9A"/>
    <w:rsid w:val="009D305A"/>
    <w:rsid w:val="009D7A4A"/>
    <w:rsid w:val="009E3DDD"/>
    <w:rsid w:val="00A10509"/>
    <w:rsid w:val="00A15B15"/>
    <w:rsid w:val="00A26634"/>
    <w:rsid w:val="00A324CA"/>
    <w:rsid w:val="00A33E8D"/>
    <w:rsid w:val="00A45C88"/>
    <w:rsid w:val="00A60520"/>
    <w:rsid w:val="00A66CE0"/>
    <w:rsid w:val="00AD772D"/>
    <w:rsid w:val="00AE3DB1"/>
    <w:rsid w:val="00B47E15"/>
    <w:rsid w:val="00B50B65"/>
    <w:rsid w:val="00B75B02"/>
    <w:rsid w:val="00B92B00"/>
    <w:rsid w:val="00BA5599"/>
    <w:rsid w:val="00BA5773"/>
    <w:rsid w:val="00BA76F4"/>
    <w:rsid w:val="00BC1613"/>
    <w:rsid w:val="00BD05FE"/>
    <w:rsid w:val="00BF0008"/>
    <w:rsid w:val="00BF1058"/>
    <w:rsid w:val="00C065B2"/>
    <w:rsid w:val="00C24BD3"/>
    <w:rsid w:val="00C40A4B"/>
    <w:rsid w:val="00C433D9"/>
    <w:rsid w:val="00C5739B"/>
    <w:rsid w:val="00C71920"/>
    <w:rsid w:val="00C8024B"/>
    <w:rsid w:val="00C82D03"/>
    <w:rsid w:val="00C93220"/>
    <w:rsid w:val="00CA4B00"/>
    <w:rsid w:val="00CB14B2"/>
    <w:rsid w:val="00CB4D52"/>
    <w:rsid w:val="00CC0CC7"/>
    <w:rsid w:val="00CE0891"/>
    <w:rsid w:val="00CE51ED"/>
    <w:rsid w:val="00CF3D2E"/>
    <w:rsid w:val="00D00828"/>
    <w:rsid w:val="00D01F1C"/>
    <w:rsid w:val="00D07B93"/>
    <w:rsid w:val="00D36802"/>
    <w:rsid w:val="00D50145"/>
    <w:rsid w:val="00D54AEA"/>
    <w:rsid w:val="00D7061F"/>
    <w:rsid w:val="00D7241F"/>
    <w:rsid w:val="00D75B84"/>
    <w:rsid w:val="00D949D0"/>
    <w:rsid w:val="00D97C17"/>
    <w:rsid w:val="00DA67B9"/>
    <w:rsid w:val="00DD2261"/>
    <w:rsid w:val="00DD7362"/>
    <w:rsid w:val="00E22107"/>
    <w:rsid w:val="00E31749"/>
    <w:rsid w:val="00E31EA4"/>
    <w:rsid w:val="00E3655C"/>
    <w:rsid w:val="00E50FC9"/>
    <w:rsid w:val="00E56C13"/>
    <w:rsid w:val="00E87E91"/>
    <w:rsid w:val="00E91A14"/>
    <w:rsid w:val="00EB317A"/>
    <w:rsid w:val="00F36590"/>
    <w:rsid w:val="00F36A33"/>
    <w:rsid w:val="00F74BC3"/>
    <w:rsid w:val="00F867D0"/>
    <w:rsid w:val="00F965D3"/>
    <w:rsid w:val="00F96E23"/>
    <w:rsid w:val="00FB180D"/>
    <w:rsid w:val="00FB4A01"/>
    <w:rsid w:val="00FB506D"/>
    <w:rsid w:val="00FC554E"/>
    <w:rsid w:val="00FD5239"/>
    <w:rsid w:val="0458B215"/>
    <w:rsid w:val="0F2AC2A4"/>
    <w:rsid w:val="1BD2E487"/>
    <w:rsid w:val="1CA6290F"/>
    <w:rsid w:val="1CF44CB0"/>
    <w:rsid w:val="1F9B39C6"/>
    <w:rsid w:val="358D2810"/>
    <w:rsid w:val="3A6DE293"/>
    <w:rsid w:val="3C0C43A5"/>
    <w:rsid w:val="5820CAD3"/>
    <w:rsid w:val="58DF3E17"/>
    <w:rsid w:val="6C5EBBB3"/>
    <w:rsid w:val="7954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9BAF"/>
  <w15:chartTrackingRefBased/>
  <w15:docId w15:val="{CCB6F106-4433-E246-B64E-CB73B2B8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B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B00"/>
    <w:rPr>
      <w:i/>
      <w:iCs/>
    </w:rPr>
  </w:style>
  <w:style w:type="paragraph" w:styleId="ListParagraph">
    <w:name w:val="List Paragraph"/>
    <w:basedOn w:val="Normal"/>
    <w:uiPriority w:val="34"/>
    <w:qFormat/>
    <w:rsid w:val="00A26634"/>
    <w:pPr>
      <w:ind w:left="720"/>
      <w:contextualSpacing/>
    </w:pPr>
  </w:style>
  <w:style w:type="table" w:styleId="TableGrid">
    <w:name w:val="Table Grid"/>
    <w:basedOn w:val="TableNormal"/>
    <w:uiPriority w:val="39"/>
    <w:rsid w:val="0073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qFormat/>
    <w:rsid w:val="00FB4A01"/>
    <w:pPr>
      <w:spacing w:before="120" w:after="120" w:line="240" w:lineRule="auto"/>
      <w:ind w:left="72" w:right="72"/>
    </w:pPr>
    <w:rPr>
      <w:rFonts w:eastAsiaTheme="minorEastAsia"/>
      <w:color w:val="7F7F7F" w:themeColor="text1" w:themeTint="8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8453">
      <w:bodyDiv w:val="1"/>
      <w:marLeft w:val="0"/>
      <w:marRight w:val="0"/>
      <w:marTop w:val="0"/>
      <w:marBottom w:val="0"/>
      <w:divBdr>
        <w:top w:val="none" w:sz="0" w:space="0" w:color="auto"/>
        <w:left w:val="none" w:sz="0" w:space="0" w:color="auto"/>
        <w:bottom w:val="none" w:sz="0" w:space="0" w:color="auto"/>
        <w:right w:val="none" w:sz="0" w:space="0" w:color="auto"/>
      </w:divBdr>
    </w:div>
    <w:div w:id="1109084539">
      <w:bodyDiv w:val="1"/>
      <w:marLeft w:val="0"/>
      <w:marRight w:val="0"/>
      <w:marTop w:val="0"/>
      <w:marBottom w:val="0"/>
      <w:divBdr>
        <w:top w:val="none" w:sz="0" w:space="0" w:color="auto"/>
        <w:left w:val="none" w:sz="0" w:space="0" w:color="auto"/>
        <w:bottom w:val="none" w:sz="0" w:space="0" w:color="auto"/>
        <w:right w:val="none" w:sz="0" w:space="0" w:color="auto"/>
      </w:divBdr>
    </w:div>
    <w:div w:id="1193761928">
      <w:bodyDiv w:val="1"/>
      <w:marLeft w:val="0"/>
      <w:marRight w:val="0"/>
      <w:marTop w:val="0"/>
      <w:marBottom w:val="0"/>
      <w:divBdr>
        <w:top w:val="none" w:sz="0" w:space="0" w:color="auto"/>
        <w:left w:val="none" w:sz="0" w:space="0" w:color="auto"/>
        <w:bottom w:val="none" w:sz="0" w:space="0" w:color="auto"/>
        <w:right w:val="none" w:sz="0" w:space="0" w:color="auto"/>
      </w:divBdr>
    </w:div>
    <w:div w:id="1934196486">
      <w:bodyDiv w:val="1"/>
      <w:marLeft w:val="0"/>
      <w:marRight w:val="0"/>
      <w:marTop w:val="0"/>
      <w:marBottom w:val="0"/>
      <w:divBdr>
        <w:top w:val="none" w:sz="0" w:space="0" w:color="auto"/>
        <w:left w:val="none" w:sz="0" w:space="0" w:color="auto"/>
        <w:bottom w:val="none" w:sz="0" w:space="0" w:color="auto"/>
        <w:right w:val="none" w:sz="0" w:space="0" w:color="auto"/>
      </w:divBdr>
    </w:div>
    <w:div w:id="1950157777">
      <w:bodyDiv w:val="1"/>
      <w:marLeft w:val="0"/>
      <w:marRight w:val="0"/>
      <w:marTop w:val="0"/>
      <w:marBottom w:val="0"/>
      <w:divBdr>
        <w:top w:val="none" w:sz="0" w:space="0" w:color="auto"/>
        <w:left w:val="none" w:sz="0" w:space="0" w:color="auto"/>
        <w:bottom w:val="none" w:sz="0" w:space="0" w:color="auto"/>
        <w:right w:val="none" w:sz="0" w:space="0" w:color="auto"/>
      </w:divBdr>
    </w:div>
    <w:div w:id="2032101585">
      <w:bodyDiv w:val="1"/>
      <w:marLeft w:val="0"/>
      <w:marRight w:val="0"/>
      <w:marTop w:val="0"/>
      <w:marBottom w:val="0"/>
      <w:divBdr>
        <w:top w:val="none" w:sz="0" w:space="0" w:color="auto"/>
        <w:left w:val="none" w:sz="0" w:space="0" w:color="auto"/>
        <w:bottom w:val="none" w:sz="0" w:space="0" w:color="auto"/>
        <w:right w:val="none" w:sz="0" w:space="0" w:color="auto"/>
      </w:divBdr>
    </w:div>
    <w:div w:id="20748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E8755-8A41-4839-83EC-46590F11A451}"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9D726287-C1A8-4543-9DA3-FED8846C7411}">
      <dgm:prSet phldrT="[Text]"/>
      <dgm:spPr/>
      <dgm:t>
        <a:bodyPr/>
        <a:lstStyle/>
        <a:p>
          <a:r>
            <a:rPr lang="en-US"/>
            <a:t>Research &amp; Discovery</a:t>
          </a:r>
          <a:br>
            <a:rPr lang="en-US"/>
          </a:br>
          <a:r>
            <a:rPr lang="en-US" b="1"/>
            <a:t>1 month</a:t>
          </a:r>
        </a:p>
      </dgm:t>
    </dgm:pt>
    <dgm:pt modelId="{95AE57A3-C402-477C-86FD-033BE70F1EED}" type="parTrans" cxnId="{53407D35-49C2-45AF-90BE-3BDB75993A60}">
      <dgm:prSet/>
      <dgm:spPr/>
      <dgm:t>
        <a:bodyPr/>
        <a:lstStyle/>
        <a:p>
          <a:endParaRPr lang="en-US"/>
        </a:p>
      </dgm:t>
    </dgm:pt>
    <dgm:pt modelId="{980978A3-210E-4D5B-9C32-98A6C841005A}" type="sibTrans" cxnId="{53407D35-49C2-45AF-90BE-3BDB75993A60}">
      <dgm:prSet/>
      <dgm:spPr/>
      <dgm:t>
        <a:bodyPr/>
        <a:lstStyle/>
        <a:p>
          <a:endParaRPr lang="en-US"/>
        </a:p>
      </dgm:t>
    </dgm:pt>
    <dgm:pt modelId="{B41675C2-53FD-4D10-83DC-0F5F429DDFFA}">
      <dgm:prSet phldrT="[Text]"/>
      <dgm:spPr/>
      <dgm:t>
        <a:bodyPr/>
        <a:lstStyle/>
        <a:p>
          <a:r>
            <a:rPr lang="en-US"/>
            <a:t>Assessment</a:t>
          </a:r>
          <a:br>
            <a:rPr lang="en-US"/>
          </a:br>
          <a:r>
            <a:rPr lang="en-US" b="1"/>
            <a:t>2 months</a:t>
          </a:r>
        </a:p>
      </dgm:t>
    </dgm:pt>
    <dgm:pt modelId="{7EF42DA1-B4F7-48D1-B903-0CDB28116958}" type="parTrans" cxnId="{4E878A2E-D1C9-4F7A-8DBF-47015D6E812F}">
      <dgm:prSet/>
      <dgm:spPr/>
      <dgm:t>
        <a:bodyPr/>
        <a:lstStyle/>
        <a:p>
          <a:endParaRPr lang="en-US"/>
        </a:p>
      </dgm:t>
    </dgm:pt>
    <dgm:pt modelId="{E0CC2373-F556-4B55-BAE1-EBBB39B2C6F7}" type="sibTrans" cxnId="{4E878A2E-D1C9-4F7A-8DBF-47015D6E812F}">
      <dgm:prSet/>
      <dgm:spPr/>
      <dgm:t>
        <a:bodyPr/>
        <a:lstStyle/>
        <a:p>
          <a:endParaRPr lang="en-US"/>
        </a:p>
      </dgm:t>
    </dgm:pt>
    <dgm:pt modelId="{18B0A22F-6931-4E49-9554-037892D3AFEC}">
      <dgm:prSet phldrT="[Text]"/>
      <dgm:spPr/>
      <dgm:t>
        <a:bodyPr/>
        <a:lstStyle/>
        <a:p>
          <a:r>
            <a:rPr lang="en-US"/>
            <a:t>Training and Technical Guidance</a:t>
          </a:r>
          <a:br>
            <a:rPr lang="en-US"/>
          </a:br>
          <a:r>
            <a:rPr lang="en-US" b="1"/>
            <a:t>2 months</a:t>
          </a:r>
        </a:p>
      </dgm:t>
    </dgm:pt>
    <dgm:pt modelId="{153637AF-9B9D-42A8-ADCC-0856A0CDE358}" type="parTrans" cxnId="{C79F7B2B-2BDD-4DDC-A68C-AA9D09460A53}">
      <dgm:prSet/>
      <dgm:spPr/>
      <dgm:t>
        <a:bodyPr/>
        <a:lstStyle/>
        <a:p>
          <a:endParaRPr lang="en-US"/>
        </a:p>
      </dgm:t>
    </dgm:pt>
    <dgm:pt modelId="{DB22D1DD-4207-4C98-91B1-904176531924}" type="sibTrans" cxnId="{C79F7B2B-2BDD-4DDC-A68C-AA9D09460A53}">
      <dgm:prSet/>
      <dgm:spPr/>
      <dgm:t>
        <a:bodyPr/>
        <a:lstStyle/>
        <a:p>
          <a:endParaRPr lang="en-US"/>
        </a:p>
      </dgm:t>
    </dgm:pt>
    <dgm:pt modelId="{41ECB987-22F7-4E91-A208-492A77C46DFA}">
      <dgm:prSet phldrT="[Text]"/>
      <dgm:spPr/>
      <dgm:t>
        <a:bodyPr/>
        <a:lstStyle/>
        <a:p>
          <a:r>
            <a:rPr lang="en-US"/>
            <a:t>Follow-up and Ongoing Support</a:t>
          </a:r>
          <a:br>
            <a:rPr lang="en-US"/>
          </a:br>
          <a:r>
            <a:rPr lang="en-US" b="1"/>
            <a:t>Ongoing</a:t>
          </a:r>
        </a:p>
      </dgm:t>
    </dgm:pt>
    <dgm:pt modelId="{0A53F257-5C67-463F-B5BD-1113B3E31CDB}" type="parTrans" cxnId="{81CB2D1E-B55A-4A2C-ADDD-7A6A97520B81}">
      <dgm:prSet/>
      <dgm:spPr/>
      <dgm:t>
        <a:bodyPr/>
        <a:lstStyle/>
        <a:p>
          <a:endParaRPr lang="en-US"/>
        </a:p>
      </dgm:t>
    </dgm:pt>
    <dgm:pt modelId="{F4148B90-AEF3-46B1-B2B3-14A938CF6ABF}" type="sibTrans" cxnId="{81CB2D1E-B55A-4A2C-ADDD-7A6A97520B81}">
      <dgm:prSet/>
      <dgm:spPr/>
      <dgm:t>
        <a:bodyPr/>
        <a:lstStyle/>
        <a:p>
          <a:endParaRPr lang="en-US"/>
        </a:p>
      </dgm:t>
    </dgm:pt>
    <dgm:pt modelId="{79F699C6-06E5-40A9-884C-4B8C7CDEEB7A}" type="pres">
      <dgm:prSet presAssocID="{3EAE8755-8A41-4839-83EC-46590F11A451}" presName="Name0" presStyleCnt="0">
        <dgm:presLayoutVars>
          <dgm:dir/>
          <dgm:resizeHandles val="exact"/>
        </dgm:presLayoutVars>
      </dgm:prSet>
      <dgm:spPr/>
    </dgm:pt>
    <dgm:pt modelId="{CC81582C-DB2E-4FBF-87EB-D0AD667B8EB0}" type="pres">
      <dgm:prSet presAssocID="{9D726287-C1A8-4543-9DA3-FED8846C7411}" presName="composite" presStyleCnt="0"/>
      <dgm:spPr/>
    </dgm:pt>
    <dgm:pt modelId="{2219D65D-B470-4637-9EDB-5C4B6C93F400}" type="pres">
      <dgm:prSet presAssocID="{9D726287-C1A8-4543-9DA3-FED8846C7411}" presName="bgChev" presStyleLbl="node1" presStyleIdx="0" presStyleCnt="4"/>
      <dgm:spPr>
        <a:solidFill>
          <a:srgbClr val="00B0F0"/>
        </a:solidFill>
      </dgm:spPr>
    </dgm:pt>
    <dgm:pt modelId="{708477D8-C9AA-46F5-B8E8-CDE5BD0AE86D}" type="pres">
      <dgm:prSet presAssocID="{9D726287-C1A8-4543-9DA3-FED8846C7411}" presName="txNode" presStyleLbl="fgAcc1" presStyleIdx="0" presStyleCnt="4">
        <dgm:presLayoutVars>
          <dgm:bulletEnabled val="1"/>
        </dgm:presLayoutVars>
      </dgm:prSet>
      <dgm:spPr/>
    </dgm:pt>
    <dgm:pt modelId="{DBDB0084-F918-4AAD-980D-A72DBA2571B4}" type="pres">
      <dgm:prSet presAssocID="{980978A3-210E-4D5B-9C32-98A6C841005A}" presName="compositeSpace" presStyleCnt="0"/>
      <dgm:spPr/>
    </dgm:pt>
    <dgm:pt modelId="{B68D33CA-52A7-4F09-8D5A-1D95FB59113C}" type="pres">
      <dgm:prSet presAssocID="{B41675C2-53FD-4D10-83DC-0F5F429DDFFA}" presName="composite" presStyleCnt="0"/>
      <dgm:spPr/>
    </dgm:pt>
    <dgm:pt modelId="{F031BEEF-9193-4649-A053-9EB52592168F}" type="pres">
      <dgm:prSet presAssocID="{B41675C2-53FD-4D10-83DC-0F5F429DDFFA}" presName="bgChev" presStyleLbl="node1" presStyleIdx="1" presStyleCnt="4"/>
      <dgm:spPr>
        <a:solidFill>
          <a:srgbClr val="00B0F0"/>
        </a:solidFill>
      </dgm:spPr>
    </dgm:pt>
    <dgm:pt modelId="{9C930DA1-078A-4EFE-8BC9-CEE4A352F87A}" type="pres">
      <dgm:prSet presAssocID="{B41675C2-53FD-4D10-83DC-0F5F429DDFFA}" presName="txNode" presStyleLbl="fgAcc1" presStyleIdx="1" presStyleCnt="4">
        <dgm:presLayoutVars>
          <dgm:bulletEnabled val="1"/>
        </dgm:presLayoutVars>
      </dgm:prSet>
      <dgm:spPr/>
    </dgm:pt>
    <dgm:pt modelId="{032BF7A6-28AF-476D-9112-AC2DF19FB2C1}" type="pres">
      <dgm:prSet presAssocID="{E0CC2373-F556-4B55-BAE1-EBBB39B2C6F7}" presName="compositeSpace" presStyleCnt="0"/>
      <dgm:spPr/>
    </dgm:pt>
    <dgm:pt modelId="{82B5927A-8DEB-445E-BFC6-8B3BDB62355D}" type="pres">
      <dgm:prSet presAssocID="{18B0A22F-6931-4E49-9554-037892D3AFEC}" presName="composite" presStyleCnt="0"/>
      <dgm:spPr/>
    </dgm:pt>
    <dgm:pt modelId="{A29A6ABB-33A2-4DB3-9D55-1CFAFA52D164}" type="pres">
      <dgm:prSet presAssocID="{18B0A22F-6931-4E49-9554-037892D3AFEC}" presName="bgChev" presStyleLbl="node1" presStyleIdx="2" presStyleCnt="4"/>
      <dgm:spPr>
        <a:solidFill>
          <a:srgbClr val="00B0F0"/>
        </a:solidFill>
      </dgm:spPr>
    </dgm:pt>
    <dgm:pt modelId="{353D0EB6-EA0C-45A1-A9A8-B0947EC9054B}" type="pres">
      <dgm:prSet presAssocID="{18B0A22F-6931-4E49-9554-037892D3AFEC}" presName="txNode" presStyleLbl="fgAcc1" presStyleIdx="2" presStyleCnt="4">
        <dgm:presLayoutVars>
          <dgm:bulletEnabled val="1"/>
        </dgm:presLayoutVars>
      </dgm:prSet>
      <dgm:spPr/>
    </dgm:pt>
    <dgm:pt modelId="{6656FEB6-750C-40E1-963D-AC1706775FBB}" type="pres">
      <dgm:prSet presAssocID="{DB22D1DD-4207-4C98-91B1-904176531924}" presName="compositeSpace" presStyleCnt="0"/>
      <dgm:spPr/>
    </dgm:pt>
    <dgm:pt modelId="{5CFE5793-9D2B-4902-B7DD-6DB734F42BA7}" type="pres">
      <dgm:prSet presAssocID="{41ECB987-22F7-4E91-A208-492A77C46DFA}" presName="composite" presStyleCnt="0"/>
      <dgm:spPr/>
    </dgm:pt>
    <dgm:pt modelId="{F423F830-A9A9-4B70-ABBA-9635F966C94B}" type="pres">
      <dgm:prSet presAssocID="{41ECB987-22F7-4E91-A208-492A77C46DFA}" presName="bgChev" presStyleLbl="node1" presStyleIdx="3" presStyleCnt="4"/>
      <dgm:spPr>
        <a:solidFill>
          <a:srgbClr val="00B0F0"/>
        </a:solidFill>
      </dgm:spPr>
    </dgm:pt>
    <dgm:pt modelId="{E9230553-832B-414F-8CCF-B0C936D35207}" type="pres">
      <dgm:prSet presAssocID="{41ECB987-22F7-4E91-A208-492A77C46DFA}" presName="txNode" presStyleLbl="fgAcc1" presStyleIdx="3" presStyleCnt="4">
        <dgm:presLayoutVars>
          <dgm:bulletEnabled val="1"/>
        </dgm:presLayoutVars>
      </dgm:prSet>
      <dgm:spPr/>
    </dgm:pt>
  </dgm:ptLst>
  <dgm:cxnLst>
    <dgm:cxn modelId="{9FFBB10E-B336-4625-942C-6177EFC065C4}" type="presOf" srcId="{9D726287-C1A8-4543-9DA3-FED8846C7411}" destId="{708477D8-C9AA-46F5-B8E8-CDE5BD0AE86D}" srcOrd="0" destOrd="0" presId="urn:microsoft.com/office/officeart/2005/8/layout/chevronAccent+Icon"/>
    <dgm:cxn modelId="{81CB2D1E-B55A-4A2C-ADDD-7A6A97520B81}" srcId="{3EAE8755-8A41-4839-83EC-46590F11A451}" destId="{41ECB987-22F7-4E91-A208-492A77C46DFA}" srcOrd="3" destOrd="0" parTransId="{0A53F257-5C67-463F-B5BD-1113B3E31CDB}" sibTransId="{F4148B90-AEF3-46B1-B2B3-14A938CF6ABF}"/>
    <dgm:cxn modelId="{C79F7B2B-2BDD-4DDC-A68C-AA9D09460A53}" srcId="{3EAE8755-8A41-4839-83EC-46590F11A451}" destId="{18B0A22F-6931-4E49-9554-037892D3AFEC}" srcOrd="2" destOrd="0" parTransId="{153637AF-9B9D-42A8-ADCC-0856A0CDE358}" sibTransId="{DB22D1DD-4207-4C98-91B1-904176531924}"/>
    <dgm:cxn modelId="{4E878A2E-D1C9-4F7A-8DBF-47015D6E812F}" srcId="{3EAE8755-8A41-4839-83EC-46590F11A451}" destId="{B41675C2-53FD-4D10-83DC-0F5F429DDFFA}" srcOrd="1" destOrd="0" parTransId="{7EF42DA1-B4F7-48D1-B903-0CDB28116958}" sibTransId="{E0CC2373-F556-4B55-BAE1-EBBB39B2C6F7}"/>
    <dgm:cxn modelId="{53407D35-49C2-45AF-90BE-3BDB75993A60}" srcId="{3EAE8755-8A41-4839-83EC-46590F11A451}" destId="{9D726287-C1A8-4543-9DA3-FED8846C7411}" srcOrd="0" destOrd="0" parTransId="{95AE57A3-C402-477C-86FD-033BE70F1EED}" sibTransId="{980978A3-210E-4D5B-9C32-98A6C841005A}"/>
    <dgm:cxn modelId="{0CA8EF82-45C3-4787-9EDC-9AE233A23283}" type="presOf" srcId="{41ECB987-22F7-4E91-A208-492A77C46DFA}" destId="{E9230553-832B-414F-8CCF-B0C936D35207}" srcOrd="0" destOrd="0" presId="urn:microsoft.com/office/officeart/2005/8/layout/chevronAccent+Icon"/>
    <dgm:cxn modelId="{94A47EAF-3023-4E05-B55C-BC2C6E80F10F}" type="presOf" srcId="{B41675C2-53FD-4D10-83DC-0F5F429DDFFA}" destId="{9C930DA1-078A-4EFE-8BC9-CEE4A352F87A}" srcOrd="0" destOrd="0" presId="urn:microsoft.com/office/officeart/2005/8/layout/chevronAccent+Icon"/>
    <dgm:cxn modelId="{94CC1BC4-A9D7-4F64-BDBF-E0AF815C5C65}" type="presOf" srcId="{3EAE8755-8A41-4839-83EC-46590F11A451}" destId="{79F699C6-06E5-40A9-884C-4B8C7CDEEB7A}" srcOrd="0" destOrd="0" presId="urn:microsoft.com/office/officeart/2005/8/layout/chevronAccent+Icon"/>
    <dgm:cxn modelId="{3C2D65D2-03C5-42F1-830F-5C1547C5112E}" type="presOf" srcId="{18B0A22F-6931-4E49-9554-037892D3AFEC}" destId="{353D0EB6-EA0C-45A1-A9A8-B0947EC9054B}" srcOrd="0" destOrd="0" presId="urn:microsoft.com/office/officeart/2005/8/layout/chevronAccent+Icon"/>
    <dgm:cxn modelId="{0E263C2F-69E8-4813-B09F-54720E059287}" type="presParOf" srcId="{79F699C6-06E5-40A9-884C-4B8C7CDEEB7A}" destId="{CC81582C-DB2E-4FBF-87EB-D0AD667B8EB0}" srcOrd="0" destOrd="0" presId="urn:microsoft.com/office/officeart/2005/8/layout/chevronAccent+Icon"/>
    <dgm:cxn modelId="{55495EA5-B6A7-4719-98EF-8D714294C361}" type="presParOf" srcId="{CC81582C-DB2E-4FBF-87EB-D0AD667B8EB0}" destId="{2219D65D-B470-4637-9EDB-5C4B6C93F400}" srcOrd="0" destOrd="0" presId="urn:microsoft.com/office/officeart/2005/8/layout/chevronAccent+Icon"/>
    <dgm:cxn modelId="{94D2AEB6-0F4A-45AC-BDF6-299FCDA85672}" type="presParOf" srcId="{CC81582C-DB2E-4FBF-87EB-D0AD667B8EB0}" destId="{708477D8-C9AA-46F5-B8E8-CDE5BD0AE86D}" srcOrd="1" destOrd="0" presId="urn:microsoft.com/office/officeart/2005/8/layout/chevronAccent+Icon"/>
    <dgm:cxn modelId="{6BC6D8AF-C69A-4EE1-B4E1-9C51C09F858D}" type="presParOf" srcId="{79F699C6-06E5-40A9-884C-4B8C7CDEEB7A}" destId="{DBDB0084-F918-4AAD-980D-A72DBA2571B4}" srcOrd="1" destOrd="0" presId="urn:microsoft.com/office/officeart/2005/8/layout/chevronAccent+Icon"/>
    <dgm:cxn modelId="{ACF5E6A0-F914-441A-888F-F7EA583724CD}" type="presParOf" srcId="{79F699C6-06E5-40A9-884C-4B8C7CDEEB7A}" destId="{B68D33CA-52A7-4F09-8D5A-1D95FB59113C}" srcOrd="2" destOrd="0" presId="urn:microsoft.com/office/officeart/2005/8/layout/chevronAccent+Icon"/>
    <dgm:cxn modelId="{1E1E4A63-7E24-4824-BFC4-FD29DE5ADD54}" type="presParOf" srcId="{B68D33CA-52A7-4F09-8D5A-1D95FB59113C}" destId="{F031BEEF-9193-4649-A053-9EB52592168F}" srcOrd="0" destOrd="0" presId="urn:microsoft.com/office/officeart/2005/8/layout/chevronAccent+Icon"/>
    <dgm:cxn modelId="{A41A1E0B-CB48-4E96-ACFC-0A284D7690F2}" type="presParOf" srcId="{B68D33CA-52A7-4F09-8D5A-1D95FB59113C}" destId="{9C930DA1-078A-4EFE-8BC9-CEE4A352F87A}" srcOrd="1" destOrd="0" presId="urn:microsoft.com/office/officeart/2005/8/layout/chevronAccent+Icon"/>
    <dgm:cxn modelId="{B07BEA55-E6AA-4879-9E58-555564FAF518}" type="presParOf" srcId="{79F699C6-06E5-40A9-884C-4B8C7CDEEB7A}" destId="{032BF7A6-28AF-476D-9112-AC2DF19FB2C1}" srcOrd="3" destOrd="0" presId="urn:microsoft.com/office/officeart/2005/8/layout/chevronAccent+Icon"/>
    <dgm:cxn modelId="{1FD908B3-079F-49EE-BFCA-514AC89FC4D7}" type="presParOf" srcId="{79F699C6-06E5-40A9-884C-4B8C7CDEEB7A}" destId="{82B5927A-8DEB-445E-BFC6-8B3BDB62355D}" srcOrd="4" destOrd="0" presId="urn:microsoft.com/office/officeart/2005/8/layout/chevronAccent+Icon"/>
    <dgm:cxn modelId="{6C055ACB-A295-41A8-98DC-BB73577F74D1}" type="presParOf" srcId="{82B5927A-8DEB-445E-BFC6-8B3BDB62355D}" destId="{A29A6ABB-33A2-4DB3-9D55-1CFAFA52D164}" srcOrd="0" destOrd="0" presId="urn:microsoft.com/office/officeart/2005/8/layout/chevronAccent+Icon"/>
    <dgm:cxn modelId="{328594EE-00D1-469A-93F2-C9695424777B}" type="presParOf" srcId="{82B5927A-8DEB-445E-BFC6-8B3BDB62355D}" destId="{353D0EB6-EA0C-45A1-A9A8-B0947EC9054B}" srcOrd="1" destOrd="0" presId="urn:microsoft.com/office/officeart/2005/8/layout/chevronAccent+Icon"/>
    <dgm:cxn modelId="{566F6463-C68C-45F0-8577-0BAFC5E99F78}" type="presParOf" srcId="{79F699C6-06E5-40A9-884C-4B8C7CDEEB7A}" destId="{6656FEB6-750C-40E1-963D-AC1706775FBB}" srcOrd="5" destOrd="0" presId="urn:microsoft.com/office/officeart/2005/8/layout/chevronAccent+Icon"/>
    <dgm:cxn modelId="{5D3C7074-C0CF-47A0-8C86-0EFE2585EE87}" type="presParOf" srcId="{79F699C6-06E5-40A9-884C-4B8C7CDEEB7A}" destId="{5CFE5793-9D2B-4902-B7DD-6DB734F42BA7}" srcOrd="6" destOrd="0" presId="urn:microsoft.com/office/officeart/2005/8/layout/chevronAccent+Icon"/>
    <dgm:cxn modelId="{ACE66FCC-0325-4739-BB75-A66FE3382BC2}" type="presParOf" srcId="{5CFE5793-9D2B-4902-B7DD-6DB734F42BA7}" destId="{F423F830-A9A9-4B70-ABBA-9635F966C94B}" srcOrd="0" destOrd="0" presId="urn:microsoft.com/office/officeart/2005/8/layout/chevronAccent+Icon"/>
    <dgm:cxn modelId="{0F3C9DD9-A694-44CC-8316-3D7BC8E27FCD}" type="presParOf" srcId="{5CFE5793-9D2B-4902-B7DD-6DB734F42BA7}" destId="{E9230553-832B-414F-8CCF-B0C936D35207}" srcOrd="1" destOrd="0" presId="urn:microsoft.com/office/officeart/2005/8/layout/chevronAccent+Icon"/>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19D65D-B470-4637-9EDB-5C4B6C93F400}">
      <dsp:nvSpPr>
        <dsp:cNvPr id="0" name=""/>
        <dsp:cNvSpPr/>
      </dsp:nvSpPr>
      <dsp:spPr>
        <a:xfrm>
          <a:off x="3036" y="1157891"/>
          <a:ext cx="1429370" cy="551737"/>
        </a:xfrm>
        <a:prstGeom prst="chevron">
          <a:avLst>
            <a:gd name="adj" fmla="val 4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8477D8-C9AA-46F5-B8E8-CDE5BD0AE86D}">
      <dsp:nvSpPr>
        <dsp:cNvPr id="0" name=""/>
        <dsp:cNvSpPr/>
      </dsp:nvSpPr>
      <dsp:spPr>
        <a:xfrm>
          <a:off x="384202" y="1295826"/>
          <a:ext cx="1207024" cy="5517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Research &amp; Discovery</a:t>
          </a:r>
          <a:br>
            <a:rPr lang="en-US" sz="900" kern="1200"/>
          </a:br>
          <a:r>
            <a:rPr lang="en-US" sz="900" b="1" kern="1200"/>
            <a:t>1 month</a:t>
          </a:r>
        </a:p>
      </dsp:txBody>
      <dsp:txXfrm>
        <a:off x="400362" y="1311986"/>
        <a:ext cx="1174704" cy="519417"/>
      </dsp:txXfrm>
    </dsp:sp>
    <dsp:sp modelId="{F031BEEF-9193-4649-A053-9EB52592168F}">
      <dsp:nvSpPr>
        <dsp:cNvPr id="0" name=""/>
        <dsp:cNvSpPr/>
      </dsp:nvSpPr>
      <dsp:spPr>
        <a:xfrm>
          <a:off x="1635695" y="1157891"/>
          <a:ext cx="1429370" cy="551737"/>
        </a:xfrm>
        <a:prstGeom prst="chevron">
          <a:avLst>
            <a:gd name="adj" fmla="val 4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930DA1-078A-4EFE-8BC9-CEE4A352F87A}">
      <dsp:nvSpPr>
        <dsp:cNvPr id="0" name=""/>
        <dsp:cNvSpPr/>
      </dsp:nvSpPr>
      <dsp:spPr>
        <a:xfrm>
          <a:off x="2016861" y="1295826"/>
          <a:ext cx="1207024" cy="5517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Assessment</a:t>
          </a:r>
          <a:br>
            <a:rPr lang="en-US" sz="900" kern="1200"/>
          </a:br>
          <a:r>
            <a:rPr lang="en-US" sz="900" b="1" kern="1200"/>
            <a:t>2 months</a:t>
          </a:r>
        </a:p>
      </dsp:txBody>
      <dsp:txXfrm>
        <a:off x="2033021" y="1311986"/>
        <a:ext cx="1174704" cy="519417"/>
      </dsp:txXfrm>
    </dsp:sp>
    <dsp:sp modelId="{A29A6ABB-33A2-4DB3-9D55-1CFAFA52D164}">
      <dsp:nvSpPr>
        <dsp:cNvPr id="0" name=""/>
        <dsp:cNvSpPr/>
      </dsp:nvSpPr>
      <dsp:spPr>
        <a:xfrm>
          <a:off x="3268354" y="1157891"/>
          <a:ext cx="1429370" cy="551737"/>
        </a:xfrm>
        <a:prstGeom prst="chevron">
          <a:avLst>
            <a:gd name="adj" fmla="val 4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3D0EB6-EA0C-45A1-A9A8-B0947EC9054B}">
      <dsp:nvSpPr>
        <dsp:cNvPr id="0" name=""/>
        <dsp:cNvSpPr/>
      </dsp:nvSpPr>
      <dsp:spPr>
        <a:xfrm>
          <a:off x="3649520" y="1295826"/>
          <a:ext cx="1207024" cy="5517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Training and Technical Guidance</a:t>
          </a:r>
          <a:br>
            <a:rPr lang="en-US" sz="900" kern="1200"/>
          </a:br>
          <a:r>
            <a:rPr lang="en-US" sz="900" b="1" kern="1200"/>
            <a:t>2 months</a:t>
          </a:r>
        </a:p>
      </dsp:txBody>
      <dsp:txXfrm>
        <a:off x="3665680" y="1311986"/>
        <a:ext cx="1174704" cy="519417"/>
      </dsp:txXfrm>
    </dsp:sp>
    <dsp:sp modelId="{F423F830-A9A9-4B70-ABBA-9635F966C94B}">
      <dsp:nvSpPr>
        <dsp:cNvPr id="0" name=""/>
        <dsp:cNvSpPr/>
      </dsp:nvSpPr>
      <dsp:spPr>
        <a:xfrm>
          <a:off x="4901013" y="1157891"/>
          <a:ext cx="1429370" cy="551737"/>
        </a:xfrm>
        <a:prstGeom prst="chevron">
          <a:avLst>
            <a:gd name="adj" fmla="val 4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230553-832B-414F-8CCF-B0C936D35207}">
      <dsp:nvSpPr>
        <dsp:cNvPr id="0" name=""/>
        <dsp:cNvSpPr/>
      </dsp:nvSpPr>
      <dsp:spPr>
        <a:xfrm>
          <a:off x="5282179" y="1295826"/>
          <a:ext cx="1207024" cy="5517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Follow-up and Ongoing Support</a:t>
          </a:r>
          <a:br>
            <a:rPr lang="en-US" sz="900" kern="1200"/>
          </a:br>
          <a:r>
            <a:rPr lang="en-US" sz="900" b="1" kern="1200"/>
            <a:t>Ongoing</a:t>
          </a:r>
        </a:p>
      </dsp:txBody>
      <dsp:txXfrm>
        <a:off x="5298339" y="1311986"/>
        <a:ext cx="1174704" cy="51941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FE83383A4894691E598514E11C4E1" ma:contentTypeVersion="12" ma:contentTypeDescription="Create a new document." ma:contentTypeScope="" ma:versionID="caf5f89b3f3ed513c9d358efffd23506">
  <xsd:schema xmlns:xsd="http://www.w3.org/2001/XMLSchema" xmlns:xs="http://www.w3.org/2001/XMLSchema" xmlns:p="http://schemas.microsoft.com/office/2006/metadata/properties" xmlns:ns2="7222be73-688a-4f9a-8e48-13f032546b6d" xmlns:ns3="c251d5fb-f670-4101-b385-a5915d94beda" targetNamespace="http://schemas.microsoft.com/office/2006/metadata/properties" ma:root="true" ma:fieldsID="e3c5c90d7ddcd51907e88e08e98159b2" ns2:_="" ns3:_="">
    <xsd:import namespace="7222be73-688a-4f9a-8e48-13f032546b6d"/>
    <xsd:import namespace="c251d5fb-f670-4101-b385-a5915d94be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2be73-688a-4f9a-8e48-13f032546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51d5fb-f670-4101-b385-a5915d94be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2FC05-29C0-4E3D-B177-47546A6633B8}">
  <ds:schemaRefs>
    <ds:schemaRef ds:uri="http://schemas.microsoft.com/sharepoint/v3/contenttype/forms"/>
  </ds:schemaRefs>
</ds:datastoreItem>
</file>

<file path=customXml/itemProps2.xml><?xml version="1.0" encoding="utf-8"?>
<ds:datastoreItem xmlns:ds="http://schemas.openxmlformats.org/officeDocument/2006/customXml" ds:itemID="{A8507528-E7F8-477C-B065-B38F5EECC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2be73-688a-4f9a-8e48-13f032546b6d"/>
    <ds:schemaRef ds:uri="c251d5fb-f670-4101-b385-a5915d94b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9DF33-84A2-4B99-921C-C2BCA32649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Hanson Willis</dc:creator>
  <cp:keywords/>
  <dc:description/>
  <cp:lastModifiedBy>Hannah McNamee</cp:lastModifiedBy>
  <cp:revision>27</cp:revision>
  <dcterms:created xsi:type="dcterms:W3CDTF">2020-11-17T18:35:00Z</dcterms:created>
  <dcterms:modified xsi:type="dcterms:W3CDTF">2021-09-15T15:55:00Z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0x010100511FE83383A4894691E598514E11C4E1</vt:lpwstr>
  </property>
</Properties>
</file>